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6ECE0" w14:textId="77777777" w:rsidR="00287EAE" w:rsidRPr="00EC18F7" w:rsidRDefault="00287EAE" w:rsidP="005C0B29">
      <w:pPr>
        <w:pStyle w:val="Sajtkzlemny"/>
        <w:tabs>
          <w:tab w:val="clear" w:pos="5670"/>
          <w:tab w:val="clear" w:pos="6804"/>
        </w:tabs>
        <w:ind w:firstLine="0"/>
        <w:rPr>
          <w:rFonts w:cs="Arial"/>
          <w:color w:val="000000" w:themeColor="text1"/>
          <w:sz w:val="24"/>
          <w:szCs w:val="32"/>
          <w:lang w:val="hu-HU" w:eastAsia="hu-HU"/>
        </w:rPr>
      </w:pPr>
      <w:bookmarkStart w:id="0" w:name="_GoBack"/>
      <w:bookmarkEnd w:id="0"/>
    </w:p>
    <w:p w14:paraId="47BC9808" w14:textId="77777777" w:rsidR="00287EAE" w:rsidRPr="001C1BCE" w:rsidRDefault="00287EAE" w:rsidP="00287EAE">
      <w:pPr>
        <w:pStyle w:val="Sajtkzlemny"/>
        <w:tabs>
          <w:tab w:val="clear" w:pos="5670"/>
          <w:tab w:val="clear" w:pos="6804"/>
        </w:tabs>
        <w:ind w:firstLine="0"/>
        <w:jc w:val="center"/>
        <w:rPr>
          <w:rFonts w:cs="Arial"/>
          <w:noProof w:val="0"/>
          <w:color w:val="000000" w:themeColor="text1"/>
          <w:szCs w:val="28"/>
          <w:lang w:val="hu-HU"/>
        </w:rPr>
      </w:pPr>
      <w:r w:rsidRPr="001C1BCE">
        <w:rPr>
          <w:rFonts w:cs="Arial"/>
          <w:color w:val="000000" w:themeColor="text1"/>
          <w:szCs w:val="28"/>
          <w:lang w:val="hu-HU" w:eastAsia="hu-HU"/>
        </w:rPr>
        <w:t>Sajtóközlemény</w:t>
      </w:r>
    </w:p>
    <w:p w14:paraId="29213AC8" w14:textId="48A2E27A" w:rsidR="00287EAE" w:rsidRPr="00EC18F7" w:rsidRDefault="00367448" w:rsidP="00991773">
      <w:pPr>
        <w:pStyle w:val="header-lead"/>
        <w:spacing w:before="40"/>
        <w:ind w:left="0"/>
        <w:jc w:val="center"/>
        <w:rPr>
          <w:rFonts w:cs="Arial"/>
          <w:caps/>
          <w:color w:val="000000" w:themeColor="text1"/>
        </w:rPr>
      </w:pPr>
      <w:r>
        <w:rPr>
          <w:rFonts w:cs="Arial"/>
          <w:caps/>
          <w:color w:val="333399"/>
        </w:rPr>
        <w:t>Tisza-Túr Tározó – a mintaprojekt</w:t>
      </w:r>
    </w:p>
    <w:p w14:paraId="3E3B8AFE" w14:textId="61A142F0" w:rsidR="00811B6B" w:rsidRDefault="00811B6B" w:rsidP="00811B6B">
      <w:pPr>
        <w:pStyle w:val="Nincstrkz"/>
        <w:jc w:val="center"/>
        <w:rPr>
          <w:rFonts w:ascii="Arial" w:hAnsi="Arial" w:cs="Arial"/>
          <w:b/>
          <w:color w:val="333399"/>
          <w:sz w:val="20"/>
          <w:szCs w:val="20"/>
        </w:rPr>
      </w:pPr>
      <w:r>
        <w:rPr>
          <w:rFonts w:ascii="Arial" w:hAnsi="Arial" w:cs="Arial"/>
          <w:b/>
          <w:color w:val="333399"/>
          <w:sz w:val="20"/>
          <w:szCs w:val="20"/>
        </w:rPr>
        <w:t>202</w:t>
      </w:r>
      <w:r w:rsidR="00F00EAE">
        <w:rPr>
          <w:rFonts w:ascii="Arial" w:hAnsi="Arial" w:cs="Arial"/>
          <w:b/>
          <w:color w:val="333399"/>
          <w:sz w:val="20"/>
          <w:szCs w:val="20"/>
        </w:rPr>
        <w:t>2</w:t>
      </w:r>
      <w:r w:rsidRPr="00510A00">
        <w:rPr>
          <w:rFonts w:ascii="Arial" w:hAnsi="Arial" w:cs="Arial"/>
          <w:b/>
          <w:color w:val="333399"/>
          <w:sz w:val="20"/>
          <w:szCs w:val="20"/>
        </w:rPr>
        <w:t>/</w:t>
      </w:r>
      <w:r w:rsidR="00F00EAE">
        <w:rPr>
          <w:rFonts w:ascii="Arial" w:hAnsi="Arial" w:cs="Arial"/>
          <w:b/>
          <w:color w:val="333399"/>
          <w:sz w:val="20"/>
          <w:szCs w:val="20"/>
        </w:rPr>
        <w:t>10</w:t>
      </w:r>
      <w:r w:rsidRPr="00510A00">
        <w:rPr>
          <w:rFonts w:ascii="Arial" w:hAnsi="Arial" w:cs="Arial"/>
          <w:b/>
          <w:color w:val="333399"/>
          <w:sz w:val="20"/>
          <w:szCs w:val="20"/>
        </w:rPr>
        <w:t>/</w:t>
      </w:r>
      <w:r w:rsidR="00F00EAE">
        <w:rPr>
          <w:rFonts w:ascii="Arial" w:hAnsi="Arial" w:cs="Arial"/>
          <w:b/>
          <w:color w:val="333399"/>
          <w:sz w:val="20"/>
          <w:szCs w:val="20"/>
        </w:rPr>
        <w:t>26</w:t>
      </w:r>
    </w:p>
    <w:p w14:paraId="0291CF87" w14:textId="77777777" w:rsidR="003C77A9" w:rsidRPr="00510A00" w:rsidRDefault="003C77A9" w:rsidP="00811B6B">
      <w:pPr>
        <w:pStyle w:val="Nincstrkz"/>
        <w:jc w:val="center"/>
        <w:rPr>
          <w:rFonts w:ascii="Arial" w:hAnsi="Arial" w:cs="Arial"/>
          <w:b/>
          <w:color w:val="333399"/>
          <w:sz w:val="20"/>
          <w:szCs w:val="20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9606"/>
      </w:tblGrid>
      <w:tr w:rsidR="00287EAE" w:rsidRPr="00EC18F7" w14:paraId="04F663A2" w14:textId="77777777" w:rsidTr="00C10DA4">
        <w:trPr>
          <w:jc w:val="center"/>
        </w:trPr>
        <w:tc>
          <w:tcPr>
            <w:tcW w:w="9606" w:type="dxa"/>
          </w:tcPr>
          <w:p w14:paraId="0850205E" w14:textId="694A0910" w:rsidR="00287EAE" w:rsidRPr="003C77A9" w:rsidRDefault="003C77A9" w:rsidP="00A87C0E">
            <w:pPr>
              <w:spacing w:line="276" w:lineRule="auto"/>
              <w:jc w:val="both"/>
              <w:rPr>
                <w:szCs w:val="20"/>
              </w:rPr>
            </w:pPr>
            <w:r w:rsidRPr="003C77A9">
              <w:rPr>
                <w:color w:val="000000"/>
                <w:szCs w:val="20"/>
              </w:rPr>
              <w:t xml:space="preserve">A </w:t>
            </w:r>
            <w:r w:rsidR="00A87C0E">
              <w:rPr>
                <w:color w:val="000000"/>
                <w:szCs w:val="20"/>
              </w:rPr>
              <w:t>„</w:t>
            </w:r>
            <w:r w:rsidRPr="003C77A9">
              <w:rPr>
                <w:b/>
                <w:szCs w:val="20"/>
              </w:rPr>
              <w:t>VTT</w:t>
            </w:r>
            <w:r>
              <w:rPr>
                <w:b/>
                <w:szCs w:val="20"/>
              </w:rPr>
              <w:t xml:space="preserve"> Felső-Tisza árvízvédelmi r</w:t>
            </w:r>
            <w:r w:rsidRPr="003C77A9">
              <w:rPr>
                <w:b/>
                <w:szCs w:val="20"/>
              </w:rPr>
              <w:t>en</w:t>
            </w:r>
            <w:r>
              <w:rPr>
                <w:b/>
                <w:szCs w:val="20"/>
              </w:rPr>
              <w:t xml:space="preserve">dszerének kiépítése, Tisza-Túr </w:t>
            </w:r>
            <w:r w:rsidRPr="003C77A9">
              <w:rPr>
                <w:b/>
                <w:szCs w:val="20"/>
              </w:rPr>
              <w:t>tározó</w:t>
            </w:r>
            <w:r w:rsidR="00A87C0E">
              <w:rPr>
                <w:b/>
                <w:szCs w:val="20"/>
              </w:rPr>
              <w:t>”</w:t>
            </w:r>
            <w:r w:rsidRPr="003C77A9">
              <w:rPr>
                <w:b/>
                <w:caps/>
                <w:szCs w:val="20"/>
              </w:rPr>
              <w:t xml:space="preserve"> </w:t>
            </w:r>
            <w:r w:rsidRPr="003C77A9">
              <w:rPr>
                <w:szCs w:val="20"/>
              </w:rPr>
              <w:t xml:space="preserve">elnevezésű </w:t>
            </w:r>
            <w:r w:rsidR="00A87C0E" w:rsidRPr="00EC18F7">
              <w:rPr>
                <w:rFonts w:cs="Arial"/>
                <w:color w:val="000000" w:themeColor="text1"/>
              </w:rPr>
              <w:t xml:space="preserve">KEHOP-1.4.0-15-2016-00011 azonosító számú </w:t>
            </w:r>
            <w:r w:rsidRPr="003C77A9">
              <w:rPr>
                <w:szCs w:val="20"/>
              </w:rPr>
              <w:t xml:space="preserve">projekt az </w:t>
            </w:r>
            <w:r w:rsidRPr="003C77A9">
              <w:rPr>
                <w:color w:val="000000"/>
                <w:szCs w:val="20"/>
              </w:rPr>
              <w:t>Országos Vízügyi Főigazgatóság és a Felső-Tisza-vidéki Vízügyi Igazgatóság konzorciumában, a Környezeti és Energiahatékonysági Operatív Program keretében, több mint 35 milliárd forint támogatásból valósult meg.</w:t>
            </w:r>
          </w:p>
        </w:tc>
      </w:tr>
    </w:tbl>
    <w:p w14:paraId="09CE30DC" w14:textId="77777777" w:rsidR="003C77A9" w:rsidRDefault="003C77A9" w:rsidP="00367448">
      <w:pPr>
        <w:spacing w:after="0"/>
        <w:jc w:val="both"/>
        <w:rPr>
          <w:szCs w:val="20"/>
        </w:rPr>
      </w:pPr>
    </w:p>
    <w:p w14:paraId="075AD235" w14:textId="252B50F9" w:rsidR="00367448" w:rsidRPr="00367448" w:rsidRDefault="00367448" w:rsidP="00367448">
      <w:pPr>
        <w:spacing w:after="0"/>
        <w:jc w:val="both"/>
        <w:rPr>
          <w:szCs w:val="20"/>
        </w:rPr>
      </w:pPr>
      <w:r w:rsidRPr="00367448">
        <w:rPr>
          <w:szCs w:val="20"/>
        </w:rPr>
        <w:t xml:space="preserve">Napjaink egyik meghatározó kérdése a klímaváltozás hatásainak vizsgálata, a kezeléséhez szükséges intézkedések meghatározása, megtétele. A témával foglalkozó szakemberek számos véleménykülönbség mellett abban egyetértenek, hogy a klímaváltozás a szélsőséges jelenségekben nyilvánul meg, árvizek és aszályos időszakok váltják egymást, akár rövid időszakon belül is. Például míg tavasz elején komoly ár- és belvízvédelmi helyzettel szembesülünk, néhány hónap múlva már az aszálykár megelőzése érdekében kell védelmi intézkedéseket bevezetni. </w:t>
      </w:r>
    </w:p>
    <w:p w14:paraId="423EED3B" w14:textId="77777777" w:rsidR="00367448" w:rsidRPr="00367448" w:rsidRDefault="00367448" w:rsidP="00367448">
      <w:pPr>
        <w:spacing w:after="0"/>
        <w:jc w:val="both"/>
        <w:rPr>
          <w:szCs w:val="20"/>
        </w:rPr>
      </w:pPr>
      <w:r w:rsidRPr="00367448">
        <w:rPr>
          <w:b/>
          <w:szCs w:val="20"/>
        </w:rPr>
        <w:t xml:space="preserve">A Felső-Tisza-vidéket érintő vízgazdálkodási rendszereink </w:t>
      </w:r>
      <w:r w:rsidRPr="00367448">
        <w:rPr>
          <w:szCs w:val="20"/>
        </w:rPr>
        <w:t xml:space="preserve">– a szabályozáskor kitűzött céloknak megfelelően – eddig kizárólag a fölös vizek elvezetését szolgálták, </w:t>
      </w:r>
      <w:r w:rsidRPr="00367448">
        <w:rPr>
          <w:b/>
          <w:szCs w:val="20"/>
        </w:rPr>
        <w:t>nem adtak lehetőséget a víztöbblet és a vízhiány közötti egyensúly megteremtésére. A mintaprojektnek tekinthető, most elkészült Tisza-Túr tározó azonban mindkettő kezelésében hatékony megoldást kínál</w:t>
      </w:r>
      <w:r w:rsidRPr="00367448">
        <w:rPr>
          <w:szCs w:val="20"/>
        </w:rPr>
        <w:t xml:space="preserve">. </w:t>
      </w:r>
    </w:p>
    <w:p w14:paraId="7682C6E2" w14:textId="77777777" w:rsidR="00367448" w:rsidRPr="00367448" w:rsidRDefault="00367448" w:rsidP="00367448">
      <w:pPr>
        <w:spacing w:after="0"/>
        <w:jc w:val="both"/>
        <w:rPr>
          <w:szCs w:val="20"/>
        </w:rPr>
      </w:pPr>
      <w:r w:rsidRPr="00367448">
        <w:rPr>
          <w:szCs w:val="20"/>
        </w:rPr>
        <w:t>A Felső-Tisza vidéke árvízveszély szempontjából az ország egyik legjobban érintett területe. A veszélyeztetettség elsősorban az árvizek rendkívül gyors kialakulása miatt áll elő. Az áradás intenzitása szokatlanul nagy: két nap alatt a 11 métert is meghaladhatja. Alig 1-2 napunk van felkészülni</w:t>
      </w:r>
      <w:r w:rsidRPr="00367448">
        <w:rPr>
          <w:b/>
          <w:szCs w:val="20"/>
        </w:rPr>
        <w:t xml:space="preserve"> </w:t>
      </w:r>
      <w:r w:rsidRPr="00367448">
        <w:rPr>
          <w:szCs w:val="20"/>
        </w:rPr>
        <w:t xml:space="preserve">a védekezésre. </w:t>
      </w:r>
    </w:p>
    <w:p w14:paraId="4011B610" w14:textId="1DF802A8" w:rsidR="00367448" w:rsidRPr="00367448" w:rsidRDefault="00367448" w:rsidP="00367448">
      <w:pPr>
        <w:spacing w:after="0"/>
        <w:jc w:val="both"/>
        <w:rPr>
          <w:szCs w:val="20"/>
        </w:rPr>
      </w:pPr>
      <w:r w:rsidRPr="00367448">
        <w:rPr>
          <w:szCs w:val="20"/>
        </w:rPr>
        <w:t xml:space="preserve">A „biztonsági szelepként” funkcionáló </w:t>
      </w:r>
      <w:r w:rsidRPr="00367448">
        <w:rPr>
          <w:b/>
          <w:szCs w:val="20"/>
        </w:rPr>
        <w:t>árapasztó tározók</w:t>
      </w:r>
      <w:r w:rsidRPr="00367448">
        <w:rPr>
          <w:szCs w:val="20"/>
        </w:rPr>
        <w:t xml:space="preserve"> építésével lehetőség nyílik az árvízvédelmi töltések terhelés</w:t>
      </w:r>
      <w:r>
        <w:rPr>
          <w:szCs w:val="20"/>
        </w:rPr>
        <w:t xml:space="preserve">ének csökkentésére. A Tisza-Túr </w:t>
      </w:r>
      <w:r w:rsidRPr="00367448">
        <w:rPr>
          <w:szCs w:val="20"/>
        </w:rPr>
        <w:t xml:space="preserve">tározó </w:t>
      </w:r>
      <w:proofErr w:type="gramStart"/>
      <w:r w:rsidRPr="00367448">
        <w:rPr>
          <w:szCs w:val="20"/>
        </w:rPr>
        <w:t>ezen</w:t>
      </w:r>
      <w:proofErr w:type="gramEnd"/>
      <w:r w:rsidRPr="00367448">
        <w:rPr>
          <w:szCs w:val="20"/>
        </w:rPr>
        <w:t xml:space="preserve"> térség – közvetlenül az országhatár alatti szakasz – árvízvédelmi biztonságát oly módon növeli, hogy a korábban megépült tározókkal közösen, átlagosan 50 cm árvízszint-csökkentést tud előidézni. </w:t>
      </w:r>
    </w:p>
    <w:p w14:paraId="02826A2B" w14:textId="274163B0" w:rsidR="00367448" w:rsidRPr="00367448" w:rsidRDefault="00367448" w:rsidP="00367448">
      <w:pPr>
        <w:spacing w:after="0"/>
        <w:jc w:val="both"/>
        <w:rPr>
          <w:szCs w:val="20"/>
        </w:rPr>
      </w:pPr>
      <w:r w:rsidRPr="00367448">
        <w:rPr>
          <w:szCs w:val="20"/>
        </w:rPr>
        <w:t xml:space="preserve">A </w:t>
      </w:r>
      <w:r>
        <w:rPr>
          <w:b/>
          <w:szCs w:val="20"/>
        </w:rPr>
        <w:t xml:space="preserve">Tisza-Túr </w:t>
      </w:r>
      <w:r w:rsidRPr="00367448">
        <w:rPr>
          <w:b/>
          <w:szCs w:val="20"/>
        </w:rPr>
        <w:t>tározó</w:t>
      </w:r>
      <w:r w:rsidRPr="00367448">
        <w:rPr>
          <w:szCs w:val="20"/>
        </w:rPr>
        <w:t xml:space="preserve"> ugyanakkor abban különbözik más árapasztási projektektől, hogy </w:t>
      </w:r>
      <w:r w:rsidRPr="00367448">
        <w:rPr>
          <w:b/>
          <w:szCs w:val="20"/>
        </w:rPr>
        <w:t>komplex vízgazdálkodást tesz lehetővé</w:t>
      </w:r>
      <w:r w:rsidRPr="00367448">
        <w:rPr>
          <w:szCs w:val="20"/>
        </w:rPr>
        <w:t xml:space="preserve">: </w:t>
      </w:r>
      <w:r w:rsidRPr="00367448">
        <w:rPr>
          <w:b/>
          <w:szCs w:val="20"/>
        </w:rPr>
        <w:t>mind az árvíz, mind a</w:t>
      </w:r>
      <w:r w:rsidRPr="00367448">
        <w:rPr>
          <w:szCs w:val="20"/>
        </w:rPr>
        <w:t xml:space="preserve">z </w:t>
      </w:r>
      <w:r w:rsidRPr="00367448">
        <w:rPr>
          <w:b/>
          <w:szCs w:val="20"/>
        </w:rPr>
        <w:t>aszály kezelésére hatékony és fenntartható megoldást nyújt.</w:t>
      </w:r>
      <w:r w:rsidRPr="00367448">
        <w:rPr>
          <w:szCs w:val="20"/>
        </w:rPr>
        <w:t xml:space="preserve"> A korábbi vízgazdálkodási beruházásokkal az a legnagyobb probléma, hogy a rendszer üzemeltetése elviselhetetlen gazdasági terhet jelent a fenntartó vízügyi igazgatóság részére. Ahhoz, hogy </w:t>
      </w:r>
      <w:r w:rsidRPr="00367448">
        <w:rPr>
          <w:b/>
          <w:szCs w:val="20"/>
        </w:rPr>
        <w:t>a vízpótlást gravitációs módon tudjuk biztosítani, emelt vízállás</w:t>
      </w:r>
      <w:r w:rsidRPr="00367448">
        <w:rPr>
          <w:szCs w:val="20"/>
        </w:rPr>
        <w:t xml:space="preserve"> (</w:t>
      </w:r>
      <w:r w:rsidRPr="00367448">
        <w:rPr>
          <w:b/>
          <w:szCs w:val="20"/>
        </w:rPr>
        <w:t>árhullám, vagy duzzasztás</w:t>
      </w:r>
      <w:r w:rsidRPr="00367448">
        <w:rPr>
          <w:szCs w:val="20"/>
        </w:rPr>
        <w:t xml:space="preserve">) </w:t>
      </w:r>
      <w:r w:rsidRPr="00367448">
        <w:rPr>
          <w:b/>
          <w:szCs w:val="20"/>
        </w:rPr>
        <w:t>szükséges.</w:t>
      </w:r>
      <w:r w:rsidRPr="00367448">
        <w:rPr>
          <w:szCs w:val="20"/>
        </w:rPr>
        <w:t xml:space="preserve"> Vízhiány idején azonban a felhasználható vízkészlettel rendelkező folyók vízszintje alacsony, tehát csak szivattyús vízpótlás jöhet számításba. </w:t>
      </w:r>
      <w:r w:rsidRPr="00367448">
        <w:rPr>
          <w:b/>
          <w:szCs w:val="20"/>
        </w:rPr>
        <w:t xml:space="preserve">Ennek érdekében </w:t>
      </w:r>
      <w:r w:rsidRPr="00367448">
        <w:rPr>
          <w:b/>
          <w:i/>
          <w:szCs w:val="20"/>
        </w:rPr>
        <w:t>fixen telepített elektromos szivattyútelep</w:t>
      </w:r>
      <w:r w:rsidRPr="00367448">
        <w:rPr>
          <w:b/>
          <w:szCs w:val="20"/>
        </w:rPr>
        <w:t xml:space="preserve"> épült Tiszabecs térségében, melynek energiaigényét egy zöldenergiára alapozott </w:t>
      </w:r>
      <w:r w:rsidRPr="00367448">
        <w:rPr>
          <w:b/>
          <w:i/>
          <w:szCs w:val="20"/>
        </w:rPr>
        <w:t>naperőmű</w:t>
      </w:r>
      <w:r w:rsidRPr="00367448">
        <w:rPr>
          <w:b/>
          <w:szCs w:val="20"/>
        </w:rPr>
        <w:t xml:space="preserve"> biztosítja</w:t>
      </w:r>
      <w:r w:rsidRPr="00367448">
        <w:rPr>
          <w:szCs w:val="20"/>
        </w:rPr>
        <w:t xml:space="preserve">. </w:t>
      </w:r>
    </w:p>
    <w:p w14:paraId="602FABBE" w14:textId="77777777" w:rsidR="00367448" w:rsidRPr="00367448" w:rsidRDefault="00367448" w:rsidP="00367448">
      <w:pPr>
        <w:spacing w:after="0"/>
        <w:jc w:val="both"/>
        <w:rPr>
          <w:szCs w:val="20"/>
        </w:rPr>
      </w:pPr>
      <w:r w:rsidRPr="00367448">
        <w:rPr>
          <w:szCs w:val="20"/>
        </w:rPr>
        <w:t xml:space="preserve">A vízpótló rendszer gerincét az öntözővíz elosztására a 70-es években kialakított </w:t>
      </w:r>
      <w:r w:rsidRPr="00367448">
        <w:rPr>
          <w:b/>
          <w:i/>
          <w:szCs w:val="20"/>
        </w:rPr>
        <w:t>csatornahálózat</w:t>
      </w:r>
      <w:r w:rsidRPr="00367448">
        <w:rPr>
          <w:szCs w:val="20"/>
        </w:rPr>
        <w:t xml:space="preserve"> adja, melybe bekapcsoltuk az </w:t>
      </w:r>
      <w:proofErr w:type="spellStart"/>
      <w:r w:rsidRPr="00367448">
        <w:rPr>
          <w:szCs w:val="20"/>
        </w:rPr>
        <w:t>öblözet</w:t>
      </w:r>
      <w:proofErr w:type="spellEnd"/>
      <w:r w:rsidRPr="00367448">
        <w:rPr>
          <w:szCs w:val="20"/>
        </w:rPr>
        <w:t xml:space="preserve"> </w:t>
      </w:r>
      <w:r w:rsidRPr="00367448">
        <w:rPr>
          <w:b/>
          <w:i/>
          <w:szCs w:val="20"/>
        </w:rPr>
        <w:t>belvízcsatornáit is</w:t>
      </w:r>
      <w:r w:rsidRPr="00367448">
        <w:rPr>
          <w:szCs w:val="20"/>
        </w:rPr>
        <w:t xml:space="preserve">. Azzal, hogy a csatornák kettős működésűvé váltak, a terület állandó vízborítást kap, a rendszerbe bekapcsolt </w:t>
      </w:r>
      <w:r w:rsidRPr="00367448">
        <w:rPr>
          <w:b/>
          <w:i/>
          <w:szCs w:val="20"/>
        </w:rPr>
        <w:t>holtmedrekből</w:t>
      </w:r>
      <w:r w:rsidRPr="00367448">
        <w:rPr>
          <w:b/>
          <w:szCs w:val="20"/>
        </w:rPr>
        <w:t>,</w:t>
      </w:r>
      <w:r w:rsidRPr="00367448">
        <w:rPr>
          <w:szCs w:val="20"/>
        </w:rPr>
        <w:t xml:space="preserve"> illetve </w:t>
      </w:r>
      <w:r w:rsidRPr="00367448">
        <w:rPr>
          <w:b/>
          <w:i/>
          <w:szCs w:val="20"/>
        </w:rPr>
        <w:t>anyagnyerőhelyekből</w:t>
      </w:r>
      <w:r w:rsidRPr="00367448">
        <w:rPr>
          <w:szCs w:val="20"/>
        </w:rPr>
        <w:t xml:space="preserve"> pedig folyamatosan tud szivárogni a víz a talajba, növelve ezáltal a talajvízszintet. </w:t>
      </w:r>
    </w:p>
    <w:p w14:paraId="6750F0BA" w14:textId="77777777" w:rsidR="00367448" w:rsidRPr="00367448" w:rsidRDefault="00367448" w:rsidP="00367448">
      <w:pPr>
        <w:spacing w:after="0"/>
        <w:jc w:val="both"/>
        <w:rPr>
          <w:szCs w:val="20"/>
        </w:rPr>
      </w:pPr>
      <w:r w:rsidRPr="00367448">
        <w:rPr>
          <w:szCs w:val="20"/>
        </w:rPr>
        <w:t>A próbaüzem keretében megkezdett vízpótlás a vártnál is kedvezőbb hatásfokúnak bizonyult.  Mindez a korábbi ellenzőket is meggyőzte.</w:t>
      </w:r>
    </w:p>
    <w:p w14:paraId="6485D975" w14:textId="7DF45550" w:rsidR="00367448" w:rsidRDefault="00367448" w:rsidP="00367448">
      <w:pPr>
        <w:spacing w:after="0"/>
        <w:jc w:val="both"/>
        <w:rPr>
          <w:szCs w:val="20"/>
        </w:rPr>
      </w:pPr>
      <w:r w:rsidRPr="00367448">
        <w:rPr>
          <w:szCs w:val="20"/>
        </w:rPr>
        <w:t xml:space="preserve">Amellett, hogy a beruházás egyfajta „biztonsági szelepként” csökkenti majd az árvízvédelmi védvonal terhelését anélkül, hogy beavatkozna a Tisza vízjárásába, lehetőséget teremt a </w:t>
      </w:r>
      <w:proofErr w:type="spellStart"/>
      <w:r w:rsidRPr="00367448">
        <w:rPr>
          <w:szCs w:val="20"/>
        </w:rPr>
        <w:t>Tisza-Túr-közi</w:t>
      </w:r>
      <w:proofErr w:type="spellEnd"/>
      <w:r w:rsidRPr="00367448">
        <w:rPr>
          <w:szCs w:val="20"/>
        </w:rPr>
        <w:t xml:space="preserve"> </w:t>
      </w:r>
      <w:proofErr w:type="spellStart"/>
      <w:r w:rsidRPr="00367448">
        <w:rPr>
          <w:szCs w:val="20"/>
        </w:rPr>
        <w:t>öblözet</w:t>
      </w:r>
      <w:proofErr w:type="spellEnd"/>
      <w:r w:rsidRPr="00367448">
        <w:rPr>
          <w:szCs w:val="20"/>
        </w:rPr>
        <w:t xml:space="preserve"> vízháztartásának javítására is. </w:t>
      </w:r>
    </w:p>
    <w:p w14:paraId="799B2D8C" w14:textId="7090226E" w:rsidR="00EC18F7" w:rsidRDefault="00EC18F7" w:rsidP="00367448">
      <w:pPr>
        <w:spacing w:after="0"/>
        <w:jc w:val="both"/>
        <w:rPr>
          <w:rFonts w:cs="Arial"/>
          <w:color w:val="000000" w:themeColor="text1"/>
          <w:szCs w:val="20"/>
        </w:rPr>
      </w:pPr>
      <w:r w:rsidRPr="00EC18F7">
        <w:rPr>
          <w:rFonts w:cs="Arial"/>
          <w:color w:val="000000" w:themeColor="text1"/>
          <w:szCs w:val="20"/>
        </w:rPr>
        <w:t xml:space="preserve">További információ: </w:t>
      </w:r>
      <w:hyperlink r:id="rId7" w:history="1">
        <w:r w:rsidRPr="009F2094">
          <w:rPr>
            <w:rStyle w:val="Hiperhivatkozs"/>
            <w:rFonts w:cs="Arial"/>
            <w:color w:val="000000" w:themeColor="text1"/>
            <w:szCs w:val="20"/>
            <w:u w:val="none"/>
          </w:rPr>
          <w:t>www.ovf.hu</w:t>
        </w:r>
      </w:hyperlink>
      <w:r w:rsidRPr="009F2094">
        <w:rPr>
          <w:rFonts w:cs="Arial"/>
          <w:color w:val="000000" w:themeColor="text1"/>
          <w:szCs w:val="20"/>
        </w:rPr>
        <w:t xml:space="preserve">, </w:t>
      </w:r>
      <w:hyperlink r:id="rId8" w:history="1">
        <w:r w:rsidRPr="009F2094">
          <w:rPr>
            <w:rStyle w:val="Hiperhivatkozs"/>
            <w:rFonts w:cs="Arial"/>
            <w:color w:val="000000" w:themeColor="text1"/>
            <w:szCs w:val="20"/>
            <w:u w:val="none"/>
          </w:rPr>
          <w:t>www.fetivizig.hu</w:t>
        </w:r>
      </w:hyperlink>
      <w:r w:rsidRPr="009F2094">
        <w:rPr>
          <w:rFonts w:cs="Arial"/>
          <w:color w:val="000000" w:themeColor="text1"/>
          <w:szCs w:val="20"/>
        </w:rPr>
        <w:t>,</w:t>
      </w:r>
      <w:r w:rsidRPr="00EC18F7">
        <w:rPr>
          <w:rFonts w:cs="Arial"/>
          <w:color w:val="000000" w:themeColor="text1"/>
          <w:szCs w:val="20"/>
        </w:rPr>
        <w:t xml:space="preserve"> </w:t>
      </w:r>
      <w:r w:rsidR="009F2094">
        <w:rPr>
          <w:rFonts w:cs="Arial"/>
          <w:color w:val="000000" w:themeColor="text1"/>
          <w:szCs w:val="20"/>
        </w:rPr>
        <w:t>www.tiszaturtarozo.ovf.hu</w:t>
      </w:r>
    </w:p>
    <w:p w14:paraId="04A1C27A" w14:textId="68C5875D" w:rsidR="00811B6B" w:rsidRPr="009F2094" w:rsidRDefault="00811B6B" w:rsidP="009F2094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sectPr w:rsidR="00811B6B" w:rsidRPr="009F2094" w:rsidSect="008460B4">
      <w:headerReference w:type="default" r:id="rId9"/>
      <w:footerReference w:type="default" r:id="rId10"/>
      <w:type w:val="continuous"/>
      <w:pgSz w:w="11906" w:h="16838" w:code="9"/>
      <w:pgMar w:top="2800" w:right="1134" w:bottom="1418" w:left="1134" w:header="992" w:footer="6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1C56C" w14:textId="77777777" w:rsidR="00E15E35" w:rsidRDefault="00E15E35" w:rsidP="00AB4900">
      <w:pPr>
        <w:spacing w:after="0" w:line="240" w:lineRule="auto"/>
      </w:pPr>
      <w:r>
        <w:separator/>
      </w:r>
    </w:p>
  </w:endnote>
  <w:endnote w:type="continuationSeparator" w:id="0">
    <w:p w14:paraId="014F6BF4" w14:textId="77777777" w:rsidR="00E15E35" w:rsidRDefault="00E15E35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6673E" w14:textId="45916B68" w:rsidR="00A811B6" w:rsidRPr="008460B4" w:rsidRDefault="005402A7" w:rsidP="008460B4">
    <w:pPr>
      <w:jc w:val="both"/>
      <w:rPr>
        <w:rFonts w:cs="Arial"/>
        <w:color w:val="000000" w:themeColor="text1"/>
        <w:szCs w:val="20"/>
      </w:rPr>
    </w:pPr>
    <w:r>
      <w:rPr>
        <w:rFonts w:cs="Arial"/>
        <w:noProof/>
        <w:color w:val="000000" w:themeColor="text1"/>
        <w:szCs w:val="20"/>
        <w:lang w:eastAsia="hu-HU"/>
      </w:rPr>
      <w:drawing>
        <wp:inline distT="0" distB="0" distL="0" distR="0" wp14:anchorId="76D24D91" wp14:editId="3DD01D42">
          <wp:extent cx="269650" cy="298541"/>
          <wp:effectExtent l="0" t="0" r="0" b="6350"/>
          <wp:docPr id="6" name="Kép 6" descr="S:\KTV\FETIVIZIG VTT Tisza-Túr\ov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S:\KTV\FETIVIZIG VTT Tisza-Túr\ov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96" cy="304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41F9">
      <w:rPr>
        <w:rFonts w:cs="Arial"/>
        <w:color w:val="000000" w:themeColor="text1"/>
        <w:szCs w:val="20"/>
      </w:rPr>
      <w:t xml:space="preserve">  </w:t>
    </w:r>
    <w:r w:rsidR="00811B6B">
      <w:rPr>
        <w:rFonts w:cs="Arial"/>
        <w:noProof/>
        <w:color w:val="000000" w:themeColor="text1"/>
        <w:szCs w:val="20"/>
        <w:lang w:eastAsia="hu-HU"/>
      </w:rPr>
      <w:drawing>
        <wp:inline distT="0" distB="0" distL="0" distR="0" wp14:anchorId="2CD2A93B" wp14:editId="2CE4B33F">
          <wp:extent cx="300696" cy="297180"/>
          <wp:effectExtent l="0" t="0" r="4445" b="7620"/>
          <wp:docPr id="5" name="Kép 5" descr="S:\KTV\FETIVIZIG VTT Tisza-Túr\fetivizig_korr_lo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:\KTV\FETIVIZIG VTT Tisza-Túr\fetivizig_korr_lo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073" cy="30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C3AE75" w14:textId="77777777" w:rsidR="00A811B6" w:rsidRDefault="00A811B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25A767" w14:textId="77777777" w:rsidR="00E15E35" w:rsidRDefault="00E15E35" w:rsidP="00AB4900">
      <w:pPr>
        <w:spacing w:after="0" w:line="240" w:lineRule="auto"/>
      </w:pPr>
      <w:r>
        <w:separator/>
      </w:r>
    </w:p>
  </w:footnote>
  <w:footnote w:type="continuationSeparator" w:id="0">
    <w:p w14:paraId="79F9B805" w14:textId="77777777" w:rsidR="00E15E35" w:rsidRDefault="00E15E35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77253" w14:textId="77777777" w:rsidR="00A811B6" w:rsidRDefault="00A811B6" w:rsidP="00B50ED9">
    <w:pPr>
      <w:pStyle w:val="lfej"/>
      <w:ind w:left="1701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00E98880" wp14:editId="1A2646E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240000" cy="223920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sarc_2020_levelp_header_ME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00" cy="223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99C7C5" w14:textId="77777777" w:rsidR="00A811B6" w:rsidRDefault="00A811B6" w:rsidP="00B50ED9">
    <w:pPr>
      <w:pStyle w:val="lfej"/>
      <w:ind w:left="1701"/>
    </w:pPr>
  </w:p>
  <w:p w14:paraId="6491C6E0" w14:textId="77777777" w:rsidR="00A811B6" w:rsidRDefault="00A811B6" w:rsidP="00B50ED9">
    <w:pPr>
      <w:pStyle w:val="lfej"/>
      <w:ind w:left="1701"/>
    </w:pPr>
  </w:p>
  <w:p w14:paraId="4787784F" w14:textId="77777777" w:rsidR="00A811B6" w:rsidRDefault="00A811B6" w:rsidP="00B50ED9">
    <w:pPr>
      <w:pStyle w:val="lfej"/>
      <w:ind w:left="1701"/>
    </w:pPr>
  </w:p>
  <w:p w14:paraId="331F4EFC" w14:textId="77777777" w:rsidR="00A811B6" w:rsidRDefault="00A811B6" w:rsidP="00B50ED9">
    <w:pPr>
      <w:pStyle w:val="lfej"/>
      <w:ind w:left="1701"/>
    </w:pPr>
  </w:p>
  <w:p w14:paraId="5325DCAF" w14:textId="77777777" w:rsidR="00A811B6" w:rsidRDefault="00A811B6" w:rsidP="00B50ED9">
    <w:pPr>
      <w:pStyle w:val="lfej"/>
      <w:ind w:left="1701"/>
    </w:pPr>
  </w:p>
  <w:p w14:paraId="6E8FF5D2" w14:textId="77777777" w:rsidR="00A811B6" w:rsidRPr="00AB4900" w:rsidRDefault="00A811B6" w:rsidP="00B50ED9">
    <w:pPr>
      <w:pStyle w:val="lfej"/>
      <w:ind w:left="17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163943"/>
    <w:multiLevelType w:val="hybridMultilevel"/>
    <w:tmpl w:val="D768672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65BF1EEF"/>
    <w:multiLevelType w:val="hybridMultilevel"/>
    <w:tmpl w:val="A73886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900"/>
    <w:rsid w:val="000018FF"/>
    <w:rsid w:val="0002094C"/>
    <w:rsid w:val="00045F17"/>
    <w:rsid w:val="00081A6B"/>
    <w:rsid w:val="000836A8"/>
    <w:rsid w:val="000B2CD5"/>
    <w:rsid w:val="000B3905"/>
    <w:rsid w:val="000F00DA"/>
    <w:rsid w:val="000F4E96"/>
    <w:rsid w:val="00111913"/>
    <w:rsid w:val="00122983"/>
    <w:rsid w:val="00145E02"/>
    <w:rsid w:val="00146ACE"/>
    <w:rsid w:val="001B1B8F"/>
    <w:rsid w:val="001C1BCE"/>
    <w:rsid w:val="001D7660"/>
    <w:rsid w:val="001E6A2A"/>
    <w:rsid w:val="00210535"/>
    <w:rsid w:val="00232166"/>
    <w:rsid w:val="002441AB"/>
    <w:rsid w:val="00244F73"/>
    <w:rsid w:val="00287EAE"/>
    <w:rsid w:val="002A3E08"/>
    <w:rsid w:val="002A6DE9"/>
    <w:rsid w:val="002B61D1"/>
    <w:rsid w:val="002C7BBD"/>
    <w:rsid w:val="002D426F"/>
    <w:rsid w:val="002E2E2D"/>
    <w:rsid w:val="002E3F31"/>
    <w:rsid w:val="002E6409"/>
    <w:rsid w:val="002F678C"/>
    <w:rsid w:val="00313347"/>
    <w:rsid w:val="00316890"/>
    <w:rsid w:val="0033272A"/>
    <w:rsid w:val="00344C67"/>
    <w:rsid w:val="00353E8C"/>
    <w:rsid w:val="00367448"/>
    <w:rsid w:val="00392B1A"/>
    <w:rsid w:val="003C77A9"/>
    <w:rsid w:val="003D5F77"/>
    <w:rsid w:val="003E5D19"/>
    <w:rsid w:val="0041565B"/>
    <w:rsid w:val="004370CA"/>
    <w:rsid w:val="00461ED1"/>
    <w:rsid w:val="00477583"/>
    <w:rsid w:val="00481D50"/>
    <w:rsid w:val="00487B00"/>
    <w:rsid w:val="004A79E0"/>
    <w:rsid w:val="004B3E48"/>
    <w:rsid w:val="004C625A"/>
    <w:rsid w:val="004D7E69"/>
    <w:rsid w:val="004F0C36"/>
    <w:rsid w:val="005033C1"/>
    <w:rsid w:val="00522599"/>
    <w:rsid w:val="005402A7"/>
    <w:rsid w:val="00545DB6"/>
    <w:rsid w:val="0058739F"/>
    <w:rsid w:val="005901CF"/>
    <w:rsid w:val="005A0ECF"/>
    <w:rsid w:val="005A1A00"/>
    <w:rsid w:val="005A31D6"/>
    <w:rsid w:val="005C0B29"/>
    <w:rsid w:val="005D030D"/>
    <w:rsid w:val="005E2EDE"/>
    <w:rsid w:val="005F3CFF"/>
    <w:rsid w:val="00607197"/>
    <w:rsid w:val="006117E1"/>
    <w:rsid w:val="0062003D"/>
    <w:rsid w:val="006409CA"/>
    <w:rsid w:val="006610E7"/>
    <w:rsid w:val="006734FC"/>
    <w:rsid w:val="006A1E4D"/>
    <w:rsid w:val="006C0217"/>
    <w:rsid w:val="006D0ADF"/>
    <w:rsid w:val="006D733E"/>
    <w:rsid w:val="006E4693"/>
    <w:rsid w:val="00701A1B"/>
    <w:rsid w:val="00713A25"/>
    <w:rsid w:val="0075112D"/>
    <w:rsid w:val="00771767"/>
    <w:rsid w:val="0078269C"/>
    <w:rsid w:val="007845CB"/>
    <w:rsid w:val="00793F3D"/>
    <w:rsid w:val="007A6928"/>
    <w:rsid w:val="007A758F"/>
    <w:rsid w:val="007C77E9"/>
    <w:rsid w:val="00811B6B"/>
    <w:rsid w:val="00816521"/>
    <w:rsid w:val="0082488F"/>
    <w:rsid w:val="00836F4B"/>
    <w:rsid w:val="008460B4"/>
    <w:rsid w:val="008B4FC0"/>
    <w:rsid w:val="008B5441"/>
    <w:rsid w:val="008B5E04"/>
    <w:rsid w:val="00903913"/>
    <w:rsid w:val="009039F9"/>
    <w:rsid w:val="00913E6B"/>
    <w:rsid w:val="00920670"/>
    <w:rsid w:val="00922FBD"/>
    <w:rsid w:val="0092499D"/>
    <w:rsid w:val="00951146"/>
    <w:rsid w:val="0098381F"/>
    <w:rsid w:val="00987CB6"/>
    <w:rsid w:val="00991773"/>
    <w:rsid w:val="009B00E4"/>
    <w:rsid w:val="009C486D"/>
    <w:rsid w:val="009D170D"/>
    <w:rsid w:val="009D2C62"/>
    <w:rsid w:val="009E395B"/>
    <w:rsid w:val="009F2094"/>
    <w:rsid w:val="00A05B6A"/>
    <w:rsid w:val="00A06CAE"/>
    <w:rsid w:val="00A06EA7"/>
    <w:rsid w:val="00A422D2"/>
    <w:rsid w:val="00A46013"/>
    <w:rsid w:val="00A54B1C"/>
    <w:rsid w:val="00A56322"/>
    <w:rsid w:val="00A63A25"/>
    <w:rsid w:val="00A811B6"/>
    <w:rsid w:val="00A87C0E"/>
    <w:rsid w:val="00AA4385"/>
    <w:rsid w:val="00AB3331"/>
    <w:rsid w:val="00AB4900"/>
    <w:rsid w:val="00AC10C8"/>
    <w:rsid w:val="00AC5B21"/>
    <w:rsid w:val="00AE2160"/>
    <w:rsid w:val="00AF7CE7"/>
    <w:rsid w:val="00B06FA8"/>
    <w:rsid w:val="00B16BB3"/>
    <w:rsid w:val="00B40E8B"/>
    <w:rsid w:val="00B50ED9"/>
    <w:rsid w:val="00B62FF1"/>
    <w:rsid w:val="00B76682"/>
    <w:rsid w:val="00BB0305"/>
    <w:rsid w:val="00BC3DB3"/>
    <w:rsid w:val="00BC63BE"/>
    <w:rsid w:val="00BE726A"/>
    <w:rsid w:val="00C573C0"/>
    <w:rsid w:val="00C63AF9"/>
    <w:rsid w:val="00C87FFB"/>
    <w:rsid w:val="00C90F1B"/>
    <w:rsid w:val="00C9125A"/>
    <w:rsid w:val="00C92536"/>
    <w:rsid w:val="00C9496E"/>
    <w:rsid w:val="00CB133A"/>
    <w:rsid w:val="00CB6ED9"/>
    <w:rsid w:val="00CC0E55"/>
    <w:rsid w:val="00CC12FC"/>
    <w:rsid w:val="00CE2EF1"/>
    <w:rsid w:val="00D15E97"/>
    <w:rsid w:val="00D42BAB"/>
    <w:rsid w:val="00D54ABF"/>
    <w:rsid w:val="00D609B1"/>
    <w:rsid w:val="00D919FF"/>
    <w:rsid w:val="00DA0850"/>
    <w:rsid w:val="00DC0ECD"/>
    <w:rsid w:val="00DC696B"/>
    <w:rsid w:val="00DD20AD"/>
    <w:rsid w:val="00DE61D5"/>
    <w:rsid w:val="00E04841"/>
    <w:rsid w:val="00E15E35"/>
    <w:rsid w:val="00E20A5C"/>
    <w:rsid w:val="00E341F9"/>
    <w:rsid w:val="00E824DA"/>
    <w:rsid w:val="00E941A8"/>
    <w:rsid w:val="00EA2F16"/>
    <w:rsid w:val="00EA6185"/>
    <w:rsid w:val="00EC18F7"/>
    <w:rsid w:val="00EC6FF3"/>
    <w:rsid w:val="00EE3B19"/>
    <w:rsid w:val="00EF2EA5"/>
    <w:rsid w:val="00F00EAE"/>
    <w:rsid w:val="00F22288"/>
    <w:rsid w:val="00F42186"/>
    <w:rsid w:val="00F7138D"/>
    <w:rsid w:val="00F8315D"/>
    <w:rsid w:val="00F95300"/>
    <w:rsid w:val="00FB129A"/>
    <w:rsid w:val="00FD397A"/>
    <w:rsid w:val="00FD695A"/>
    <w:rsid w:val="00FE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C14A27"/>
  <w15:docId w15:val="{48183B39-84D3-4996-BF92-E5CB79C4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  <w:style w:type="table" w:styleId="Rcsostblzat">
    <w:name w:val="Table Grid"/>
    <w:basedOn w:val="Normltblzat"/>
    <w:uiPriority w:val="59"/>
    <w:rsid w:val="00287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C18F7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  <w:style w:type="paragraph" w:styleId="NormlWeb">
    <w:name w:val="Normal (Web)"/>
    <w:basedOn w:val="Norml"/>
    <w:uiPriority w:val="99"/>
    <w:semiHidden/>
    <w:unhideWhenUsed/>
    <w:rsid w:val="00EC1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EC18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tivizig.h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vf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468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Teszári Nóra</cp:lastModifiedBy>
  <cp:revision>7</cp:revision>
  <cp:lastPrinted>2022-10-19T08:13:00Z</cp:lastPrinted>
  <dcterms:created xsi:type="dcterms:W3CDTF">2022-10-20T09:59:00Z</dcterms:created>
  <dcterms:modified xsi:type="dcterms:W3CDTF">2022-10-21T06:01:00Z</dcterms:modified>
</cp:coreProperties>
</file>