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E42CDB3" wp14:editId="53DA25B7">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72E5C793" wp14:editId="74265A65">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7E66C89A" wp14:editId="482ABC2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r w:rsidRPr="009F3842">
        <w:rPr>
          <w:rFonts w:ascii="Times New Roman" w:hAnsi="Times New Roman" w:cs="Times New Roman"/>
          <w:snapToGrid w:val="0"/>
          <w:color w:val="000000"/>
        </w:rPr>
        <w:t>közbeszerzési eljáráshoz</w:t>
      </w:r>
    </w:p>
    <w:p w:rsidR="000276B0" w:rsidRDefault="000276B0" w:rsidP="000276B0">
      <w:pPr>
        <w:rPr>
          <w:rFonts w:ascii="Times New Roman" w:hAnsi="Times New Roman" w:cs="Times New Roman"/>
          <w:b/>
          <w:snapToGrid w:val="0"/>
          <w:color w:val="000000"/>
        </w:rPr>
      </w:pPr>
      <w:bookmarkStart w:id="0" w:name="_GoBack"/>
      <w:bookmarkEnd w:id="0"/>
    </w:p>
    <w:p w:rsidR="00B53ECA" w:rsidRDefault="00B53ECA" w:rsidP="000276B0">
      <w:pPr>
        <w:rPr>
          <w:rFonts w:ascii="Times New Roman" w:hAnsi="Times New Roman" w:cs="Times New Roman"/>
          <w:b/>
          <w:snapToGrid w:val="0"/>
          <w:color w:val="000000"/>
        </w:rPr>
      </w:pPr>
    </w:p>
    <w:p w:rsidR="00B53ECA" w:rsidRPr="009F3842" w:rsidRDefault="00B53ECA" w:rsidP="000276B0">
      <w:pPr>
        <w:rPr>
          <w:rFonts w:ascii="Times New Roman" w:hAnsi="Times New Roman" w:cs="Times New Roman"/>
          <w:b/>
          <w:snapToGrid w:val="0"/>
          <w:color w:val="000000"/>
        </w:rPr>
      </w:pPr>
    </w:p>
    <w:p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2918A8" w:rsidRPr="002918A8">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bCs/>
          <w:i/>
          <w:sz w:val="24"/>
          <w:szCs w:val="24"/>
        </w:rPr>
        <w:t xml:space="preserve">és tervezési </w:t>
      </w:r>
      <w:r w:rsidR="002918A8" w:rsidRPr="002918A8">
        <w:rPr>
          <w:rFonts w:ascii="Times New Roman" w:hAnsi="Times New Roman" w:cs="Times New Roman"/>
          <w:b/>
          <w:bCs/>
          <w:i/>
          <w:sz w:val="24"/>
          <w:szCs w:val="24"/>
        </w:rPr>
        <w:t>feladatok ellátása a következő műtárgyak tekintetében: a Deák Ferenc zsilip, a Dunakiliti vízlépcső, a Kvassay zsilip, a Nicki duzzasztó, a Góri tározó 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amely létrejött egyrészről a</w:t>
      </w:r>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Országos Vízügyi Főigazgatóság, mint a ………………………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Képviseli: Somlyódy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eredményét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2.</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6402B1" w:rsidRDefault="006402B1" w:rsidP="006402B1">
      <w:pPr>
        <w:pStyle w:val="Listaszerbekezds"/>
        <w:spacing w:after="0" w:line="240" w:lineRule="auto"/>
        <w:rPr>
          <w:rFonts w:ascii="Garamond" w:hAnsi="Garamond"/>
          <w:sz w:val="23"/>
          <w:szCs w:val="23"/>
        </w:rPr>
      </w:pP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Deák Ferenc zsilip, a Dunakiliti vízlépcső, a Kvassay zsilip, a Nicki duzzasztó, a Góri tározó zsilipje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765D73" w:rsidRPr="0063261A">
        <w:rPr>
          <w:rFonts w:ascii="Times New Roman" w:eastAsia="Calibri" w:hAnsi="Times New Roman" w:cs="Times New Roman"/>
          <w:sz w:val="24"/>
          <w:szCs w:val="24"/>
        </w:rPr>
        <w:t>7.6.</w:t>
      </w:r>
      <w:r w:rsidR="0063261A">
        <w:rPr>
          <w:rFonts w:ascii="Times New Roman" w:eastAsia="Calibri" w:hAnsi="Times New Roman" w:cs="Times New Roman"/>
          <w:sz w:val="24"/>
          <w:szCs w:val="24"/>
        </w:rPr>
        <w:t>7</w:t>
      </w:r>
      <w:r w:rsidR="00765D73">
        <w:rPr>
          <w:rFonts w:ascii="Times New Roman" w:eastAsia="Calibri" w:hAnsi="Times New Roman" w:cs="Times New Roman"/>
          <w:sz w:val="24"/>
          <w:szCs w:val="24"/>
        </w:rPr>
        <w:t>.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xml:space="preserve">, </w:t>
      </w:r>
      <w:r w:rsidR="004E4BDB" w:rsidRPr="004E4BDB">
        <w:rPr>
          <w:rFonts w:ascii="Times New Roman" w:eastAsia="Calibri" w:hAnsi="Times New Roman" w:cs="Times New Roman"/>
          <w:sz w:val="24"/>
          <w:szCs w:val="24"/>
        </w:rPr>
        <w:lastRenderedPageBreak/>
        <w:t>hogy</w:t>
      </w:r>
      <w:r w:rsidR="006D4C63" w:rsidRPr="004E4BDB">
        <w:rPr>
          <w:rFonts w:ascii="Times New Roman" w:eastAsia="Calibri" w:hAnsi="Times New Roman" w:cs="Times New Roman"/>
          <w:sz w:val="24"/>
          <w:szCs w:val="24"/>
        </w:rPr>
        <w:t xml:space="preserve"> a Megrendelő Követelményeit </w:t>
      </w:r>
      <w:r w:rsidR="00CF6EB0">
        <w:rPr>
          <w:rFonts w:ascii="Times New Roman" w:eastAsia="Calibri" w:hAnsi="Times New Roman" w:cs="Times New Roman"/>
          <w:sz w:val="24"/>
          <w:szCs w:val="24"/>
        </w:rPr>
        <w:t xml:space="preserve">a közbeszerzési eljárás során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CF6EB0">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CF6EB0">
        <w:rPr>
          <w:rFonts w:ascii="Times New Roman" w:eastAsia="Calibri" w:hAnsi="Times New Roman" w:cs="Times New Roman"/>
          <w:sz w:val="24"/>
          <w:szCs w:val="24"/>
        </w:rPr>
        <w:t>, melyet a 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kártalanítani a Megrendelőt minden büntetés </w:t>
      </w:r>
      <w:r w:rsidR="00805555">
        <w:rPr>
          <w:rFonts w:ascii="Times New Roman" w:eastAsia="Calibri" w:hAnsi="Times New Roman" w:cs="Times New Roman"/>
          <w:sz w:val="24"/>
          <w:szCs w:val="24"/>
        </w:rPr>
        <w:t xml:space="preserve">miatt </w:t>
      </w:r>
      <w:r w:rsidR="003B6148" w:rsidRPr="009F3842">
        <w:rPr>
          <w:rFonts w:ascii="Times New Roman" w:eastAsia="Calibri" w:hAnsi="Times New Roman" w:cs="Times New Roman"/>
          <w:sz w:val="24"/>
          <w:szCs w:val="24"/>
        </w:rPr>
        <w:t xml:space="preserve">vagy </w:t>
      </w:r>
      <w:r w:rsidR="00805555">
        <w:rPr>
          <w:rFonts w:ascii="Times New Roman" w:eastAsia="Calibri" w:hAnsi="Times New Roman" w:cs="Times New Roman"/>
          <w:sz w:val="24"/>
          <w:szCs w:val="24"/>
        </w:rPr>
        <w:t xml:space="preserve">felmenteni minden </w:t>
      </w:r>
      <w:r w:rsidR="003B6148" w:rsidRPr="009F3842">
        <w:rPr>
          <w:rFonts w:ascii="Times New Roman" w:eastAsia="Calibri" w:hAnsi="Times New Roman" w:cs="Times New Roman"/>
          <w:sz w:val="24"/>
          <w:szCs w:val="24"/>
        </w:rPr>
        <w:t xml:space="preserve">felelősség alól az előírások, illetve feltételek </w:t>
      </w:r>
      <w:r w:rsidR="00805555">
        <w:rPr>
          <w:rFonts w:ascii="Times New Roman" w:eastAsia="Calibri" w:hAnsi="Times New Roman" w:cs="Times New Roman"/>
          <w:sz w:val="24"/>
          <w:szCs w:val="24"/>
        </w:rPr>
        <w:t xml:space="preserve">Vállalkozó általi </w:t>
      </w:r>
      <w:r w:rsidR="003B6148" w:rsidRPr="009F3842">
        <w:rPr>
          <w:rFonts w:ascii="Times New Roman" w:eastAsia="Calibri" w:hAnsi="Times New Roman" w:cs="Times New Roman"/>
          <w:sz w:val="24"/>
          <w:szCs w:val="24"/>
        </w:rPr>
        <w:t>megszegése esetén.</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építési naplót köteles vezetni a vonatkozó jogszabályoknak</w:t>
      </w:r>
      <w:r w:rsidR="00973638"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973638">
        <w:rPr>
          <w:rFonts w:ascii="Times New Roman" w:eastAsia="Calibri" w:hAnsi="Times New Roman" w:cs="Times New Roman"/>
          <w:sz w:val="24"/>
          <w:szCs w:val="24"/>
        </w:rPr>
        <w:t>, valamint</w:t>
      </w:r>
      <w:r w:rsidR="00973638" w:rsidRPr="00052737">
        <w:rPr>
          <w:rFonts w:ascii="Times New Roman" w:eastAsia="Calibri" w:hAnsi="Times New Roman" w:cs="Times New Roman"/>
          <w:sz w:val="24"/>
          <w:szCs w:val="24"/>
        </w:rPr>
        <w:t xml:space="preserve"> az </w:t>
      </w:r>
      <w:r w:rsidR="00973638" w:rsidRPr="00052737">
        <w:rPr>
          <w:rFonts w:ascii="Times New Roman" w:eastAsia="Calibri" w:hAnsi="Times New Roman" w:cs="Times New Roman"/>
          <w:sz w:val="24"/>
          <w:szCs w:val="24"/>
        </w:rPr>
        <w:lastRenderedPageBreak/>
        <w:t>Építésügyi Dokumentációs és Információs Központról, valamint az Országos Építésügyi Nyilvántartásról szóló a 313/2012. (XI. 8.) Korm. rendeletnek</w:t>
      </w:r>
      <w:r w:rsidRPr="009F3842">
        <w:rPr>
          <w:rFonts w:ascii="Times New Roman" w:eastAsia="Calibri" w:hAnsi="Times New Roman" w:cs="Times New Roman"/>
          <w:sz w:val="24"/>
          <w:szCs w:val="24"/>
        </w:rPr>
        <w:t xml:space="preserve"> 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8065D"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8065D">
        <w:rPr>
          <w:rFonts w:ascii="Times New Roman" w:hAnsi="Times New Roman"/>
          <w:sz w:val="24"/>
          <w:szCs w:val="24"/>
        </w:rPr>
        <w:t xml:space="preserve">Vállalkozó nyilatkozik, hogy </w:t>
      </w:r>
      <w:r w:rsidR="00300A33" w:rsidRPr="00D8065D">
        <w:rPr>
          <w:rFonts w:ascii="Times New Roman" w:hAnsi="Times New Roman"/>
          <w:sz w:val="24"/>
          <w:szCs w:val="24"/>
        </w:rPr>
        <w:t xml:space="preserve">az építőipari kivitelezés során keletkező hulladékok - engedéllyel rendelkező kezelőhöz történő - elszállítására (elszállíttatására) </w:t>
      </w:r>
      <w:r w:rsidRPr="00D8065D">
        <w:rPr>
          <w:rFonts w:ascii="Times New Roman" w:hAnsi="Times New Roman"/>
          <w:sz w:val="24"/>
          <w:szCs w:val="24"/>
        </w:rPr>
        <w:t>…………………………………………….</w:t>
      </w:r>
      <w:r w:rsidRPr="00D8065D">
        <w:rPr>
          <w:rStyle w:val="Lbjegyzet-hivatkozs"/>
          <w:rFonts w:ascii="Times New Roman" w:hAnsi="Times New Roman"/>
          <w:sz w:val="24"/>
          <w:szCs w:val="24"/>
        </w:rPr>
        <w:footnoteReference w:id="4"/>
      </w:r>
      <w:r w:rsidRPr="00D8065D">
        <w:rPr>
          <w:rFonts w:ascii="Times New Roman" w:hAnsi="Times New Roman"/>
          <w:sz w:val="24"/>
          <w:szCs w:val="24"/>
        </w:rPr>
        <w:t xml:space="preserve"> </w:t>
      </w:r>
      <w:r w:rsidR="00300A33" w:rsidRPr="00D8065D">
        <w:rPr>
          <w:rFonts w:ascii="Times New Roman" w:hAnsi="Times New Roman"/>
          <w:sz w:val="24"/>
          <w:szCs w:val="24"/>
        </w:rPr>
        <w:t>kötelezett</w:t>
      </w:r>
      <w:r w:rsidRPr="00D8065D">
        <w:rPr>
          <w:rFonts w:ascii="Times New Roman" w:hAnsi="Times New Roman"/>
          <w:sz w:val="24"/>
          <w:szCs w:val="24"/>
        </w:rPr>
        <w:t>.</w:t>
      </w:r>
      <w:r w:rsidR="003B40B6" w:rsidRPr="00D8065D">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w:t>
      </w:r>
      <w:r w:rsidRPr="003C5AAD">
        <w:rPr>
          <w:rFonts w:ascii="Times New Roman" w:hAnsi="Times New Roman"/>
          <w:sz w:val="24"/>
          <w:szCs w:val="24"/>
        </w:rPr>
        <w:lastRenderedPageBreak/>
        <w:t xml:space="preserve">kell, hogy álljanak. </w:t>
      </w:r>
      <w:r w:rsidR="007F4C00"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7F4C00">
        <w:rPr>
          <w:rFonts w:ascii="Times New Roman" w:hAnsi="Times New Roman"/>
          <w:sz w:val="24"/>
          <w:szCs w:val="24"/>
        </w:rPr>
        <w:t>, azonban a jótállási időszak alatt köteles az üzemeltetési engedély megszerzése érdekében rendelkezésre állni, és szükség szerint a Megrendelőt a hatósági eljárásban segíteni</w:t>
      </w:r>
      <w:r w:rsidR="007F4C00" w:rsidRPr="00706E89">
        <w:rPr>
          <w:rFonts w:ascii="Times New Roman" w:hAnsi="Times New Roman"/>
          <w:sz w:val="24"/>
          <w:szCs w:val="24"/>
        </w:rPr>
        <w:t>.</w:t>
      </w:r>
      <w:r w:rsidR="007F4C00">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AE7E79">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AE7E79">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AE7E79">
        <w:rPr>
          <w:rFonts w:ascii="Times New Roman" w:hAnsi="Times New Roman"/>
          <w:sz w:val="24"/>
          <w:szCs w:val="24"/>
        </w:rPr>
        <w:t>részlet</w:t>
      </w:r>
      <w:r w:rsidRPr="00B02F74">
        <w:rPr>
          <w:rFonts w:ascii="Times New Roman" w:hAnsi="Times New Roman"/>
          <w:sz w:val="24"/>
          <w:szCs w:val="24"/>
        </w:rPr>
        <w:t>tervek</w:t>
      </w:r>
      <w:r w:rsidR="00AE7E79">
        <w:rPr>
          <w:rFonts w:ascii="Times New Roman" w:hAnsi="Times New Roman"/>
          <w:sz w:val="24"/>
          <w:szCs w:val="24"/>
        </w:rPr>
        <w:t>, és a Mérnök által kiadandó –munkakezdési engedélyhez szükséges egyéb dokumentáció</w:t>
      </w:r>
      <w:r w:rsidRPr="00B02F74">
        <w:rPr>
          <w:rFonts w:ascii="Times New Roman" w:hAnsi="Times New Roman"/>
          <w:sz w:val="24"/>
          <w:szCs w:val="24"/>
        </w:rPr>
        <w:t xml:space="preserve"> hiányában. A Létesítmény kivitelezése mindenkor a Mérnök által jóváhagyott </w:t>
      </w:r>
      <w:r w:rsidR="00AE7E79">
        <w:rPr>
          <w:rFonts w:ascii="Times New Roman" w:hAnsi="Times New Roman"/>
          <w:sz w:val="24"/>
          <w:szCs w:val="24"/>
        </w:rPr>
        <w:t>vonatkozó munkakezdési engedélyhez szükséges összes dokumentáció (a továbbiakban munkakezdési engedélyes dokumentáció)</w:t>
      </w:r>
      <w:r w:rsidR="00AE7E79" w:rsidRPr="00B02F74">
        <w:rPr>
          <w:rFonts w:ascii="Times New Roman" w:hAnsi="Times New Roman"/>
          <w:sz w:val="24"/>
          <w:szCs w:val="24"/>
        </w:rPr>
        <w:t xml:space="preserve"> </w:t>
      </w:r>
      <w:r w:rsidRPr="00B02F74">
        <w:rPr>
          <w:rFonts w:ascii="Times New Roman" w:hAnsi="Times New Roman"/>
          <w:sz w:val="24"/>
          <w:szCs w:val="24"/>
        </w:rPr>
        <w:t xml:space="preserve">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AE7E79" w:rsidRPr="00926A30">
        <w:rPr>
          <w:rFonts w:ascii="Times New Roman" w:hAnsi="Times New Roman"/>
          <w:sz w:val="24"/>
          <w:szCs w:val="24"/>
        </w:rPr>
        <w:t>munkakezdési engedélyes dokumentáció</w:t>
      </w:r>
      <w:r w:rsidR="00AE7E79">
        <w:rPr>
          <w:rFonts w:ascii="Times New Roman" w:hAnsi="Times New Roman"/>
          <w:sz w:val="24"/>
          <w:szCs w:val="24"/>
        </w:rPr>
        <w:t>t</w:t>
      </w:r>
      <w:r w:rsidRPr="00B02F74">
        <w:rPr>
          <w:rFonts w:ascii="Times New Roman" w:hAnsi="Times New Roman"/>
          <w:sz w:val="24"/>
          <w:szCs w:val="24"/>
        </w:rPr>
        <w:t xml:space="preserve">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AE7E79" w:rsidRPr="00AE7E79">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w:t>
      </w:r>
      <w:r w:rsidRPr="00074AAB">
        <w:rPr>
          <w:rFonts w:ascii="Times New Roman" w:hAnsi="Times New Roman"/>
          <w:sz w:val="24"/>
          <w:szCs w:val="24"/>
        </w:rPr>
        <w:lastRenderedPageBreak/>
        <w:t xml:space="preserve">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CF6EB0" w:rsidRPr="002F49B8" w:rsidRDefault="00CF6EB0" w:rsidP="00CF6EB0">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A Megrendelő a munkaterületet Vállalkozó részére a szerződés hatálybalépését követő 15 munkanapon belül jegyzőkönyvben rögzítve átadja. Ez az átadás a Vállalkozót kizárólag az előkészítő munkák elvégzésére jogosítja fel.   (</w:t>
      </w:r>
      <w:r w:rsidRPr="00AE7E79">
        <w:rPr>
          <w:rFonts w:ascii="Times New Roman" w:hAnsi="Times New Roman"/>
          <w:sz w:val="24"/>
          <w:szCs w:val="24"/>
        </w:rPr>
        <w:t>pl. geodéziai munkák, lőszermentesítés, esetleges geotechnikai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Pr="00402464" w:rsidRDefault="00CF6EB0"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402464" w:rsidRPr="0063261A">
        <w:rPr>
          <w:rFonts w:ascii="Times New Roman" w:hAnsi="Times New Roman"/>
          <w:sz w:val="24"/>
          <w:szCs w:val="24"/>
        </w:rPr>
        <w:t>7.6.7.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lastRenderedPageBreak/>
        <w:t>A Vállalkozó köteles az átvett munkaterületen az általános-, a szakmai-, a munka-, a balesetvédelmi és tűzrendészeti szabályokat és előírásokat folyamatosan betartani és 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r w:rsidRPr="00067A98">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2354D1">
        <w:rPr>
          <w:rFonts w:ascii="Times New Roman" w:eastAsia="Times New Roman" w:hAnsi="Times New Roman" w:cs="Times New Roman"/>
          <w:sz w:val="24"/>
          <w:szCs w:val="24"/>
          <w:lang w:val="en-GB"/>
        </w:rPr>
        <w:t>5</w:t>
      </w:r>
      <w:r w:rsidRPr="00067A98">
        <w:rPr>
          <w:rFonts w:ascii="Times New Roman" w:eastAsia="Times New Roman" w:hAnsi="Times New Roman" w:cs="Times New Roman"/>
          <w:sz w:val="24"/>
          <w:szCs w:val="24"/>
          <w:lang w:val="en-GB"/>
        </w:rPr>
        <w:t xml:space="preserve">. </w:t>
      </w:r>
      <w:r w:rsidR="002354D1">
        <w:rPr>
          <w:rFonts w:ascii="Times New Roman" w:eastAsia="Times New Roman" w:hAnsi="Times New Roman" w:cs="Times New Roman"/>
          <w:sz w:val="24"/>
          <w:szCs w:val="24"/>
          <w:lang w:val="en-GB"/>
        </w:rPr>
        <w:t>munka</w:t>
      </w:r>
      <w:r w:rsidRPr="00067A98">
        <w:rPr>
          <w:rFonts w:ascii="Times New Roman" w:eastAsia="Times New Roman" w:hAnsi="Times New Roman" w:cs="Times New Roman"/>
          <w:sz w:val="24"/>
          <w:szCs w:val="24"/>
          <w:lang w:val="en-GB"/>
        </w:rPr>
        <w:t>napig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r w:rsidRPr="00067A98">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r w:rsidRPr="00067A98">
        <w:rPr>
          <w:rFonts w:ascii="Times New Roman" w:eastAsia="Times New Roman" w:hAnsi="Times New Roman" w:cs="Times New Roman"/>
          <w:sz w:val="24"/>
          <w:szCs w:val="24"/>
          <w:lang w:val="en-GB"/>
        </w:rPr>
        <w:lastRenderedPageBreak/>
        <w:t>résztvenni minden olyan, irányítói értekezleten, amely a saját munkájára kihatással lehet, illetve, amelyet a Helyszínen elvégzendő munkák más vállalkozókkal történő összehangolása tárgyában hívnak össze.</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AE7E79">
        <w:rPr>
          <w:rFonts w:ascii="Times New Roman" w:hAnsi="Times New Roman"/>
          <w:sz w:val="24"/>
          <w:szCs w:val="24"/>
        </w:rPr>
        <w:t>minden kivitelezési helyszínen a kezelőépületben, vagy ennek hiányában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973638">
        <w:rPr>
          <w:rFonts w:ascii="Times New Roman" w:hAnsi="Times New Roman"/>
          <w:sz w:val="24"/>
          <w:szCs w:val="24"/>
        </w:rPr>
        <w:t xml:space="preserve">. </w:t>
      </w:r>
      <w:r w:rsidR="00973638" w:rsidRPr="00F63413">
        <w:rPr>
          <w:rFonts w:ascii="Times New Roman" w:hAnsi="Times New Roman"/>
          <w:sz w:val="24"/>
          <w:szCs w:val="24"/>
        </w:rPr>
        <w:t xml:space="preserve">Komplett infrastruktúrán </w:t>
      </w:r>
      <w:r w:rsidR="00973638">
        <w:rPr>
          <w:rFonts w:ascii="Times New Roman" w:hAnsi="Times New Roman"/>
          <w:sz w:val="24"/>
          <w:szCs w:val="24"/>
        </w:rPr>
        <w:t xml:space="preserve">a következőket kell érteni: </w:t>
      </w:r>
      <w:r w:rsidR="00973638" w:rsidRPr="00F63413">
        <w:rPr>
          <w:rFonts w:ascii="Times New Roman" w:hAnsi="Times New Roman"/>
          <w:sz w:val="24"/>
          <w:szCs w:val="24"/>
        </w:rPr>
        <w:t>4 főre kialakított</w:t>
      </w:r>
      <w:r w:rsidR="00973638">
        <w:rPr>
          <w:rFonts w:ascii="Times New Roman" w:hAnsi="Times New Roman"/>
          <w:sz w:val="24"/>
          <w:szCs w:val="24"/>
        </w:rPr>
        <w:t>,</w:t>
      </w:r>
      <w:r w:rsidR="00973638" w:rsidRPr="00F63413">
        <w:rPr>
          <w:rFonts w:ascii="Times New Roman" w:hAnsi="Times New Roman"/>
          <w:sz w:val="24"/>
          <w:szCs w:val="24"/>
        </w:rPr>
        <w:t xml:space="preserve"> légkondicionált irodahelyiség, az ivóviz, fűtés, világítás, szociális helyiség-WC, zuhanyzó- internetes munkaállomás (4 főre), étkezési lehetőség biztosításával, és tárgyaló helyiség biztosításával</w:t>
      </w:r>
      <w:r w:rsidR="0097363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Vállalkozó a Szerződés hatályba lépését</w:t>
      </w:r>
      <w:r w:rsidRPr="00067A98">
        <w:rPr>
          <w:rFonts w:ascii="Times New Roman" w:hAnsi="Times New Roman"/>
          <w:sz w:val="24"/>
          <w:szCs w:val="24"/>
        </w:rPr>
        <w:t xml:space="preserve"> 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Szerződés </w:t>
      </w:r>
      <w:r w:rsidR="00067A98" w:rsidRPr="00067A98">
        <w:rPr>
          <w:rFonts w:ascii="Times New Roman" w:hAnsi="Times New Roman"/>
          <w:sz w:val="24"/>
          <w:szCs w:val="24"/>
        </w:rPr>
        <w:t xml:space="preserve">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 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egyezteti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tárgyát képező beruházást az ajánlatához csatolt szakmai ajánlatában vállaltaknak megfelelően megvalósítani és a teljesítésbe bevonni az alkalmassági minimumkövetelmények tekintetében és az értékelés során megajánlott szakembert/szakembereket.</w:t>
      </w:r>
    </w:p>
    <w:p w:rsidR="00087685" w:rsidRDefault="00087685" w:rsidP="00087685">
      <w:pPr>
        <w:pStyle w:val="Listaszerbekezds"/>
        <w:tabs>
          <w:tab w:val="num" w:pos="1494"/>
        </w:tabs>
        <w:spacing w:before="120" w:after="0" w:line="240" w:lineRule="auto"/>
        <w:ind w:left="705"/>
        <w:jc w:val="both"/>
        <w:rPr>
          <w:rFonts w:ascii="Times New Roman" w:hAnsi="Times New Roman"/>
          <w:sz w:val="24"/>
          <w:szCs w:val="24"/>
        </w:rPr>
      </w:pPr>
    </w:p>
    <w:p w:rsidR="00087685" w:rsidRPr="007C0AFE" w:rsidRDefault="00087685" w:rsidP="00087685">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087685" w:rsidRPr="0010124E" w:rsidRDefault="00087685" w:rsidP="00087685">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p>
        </w:tc>
        <w:tc>
          <w:tcPr>
            <w:tcW w:w="2410"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Szakember neve:</w:t>
            </w:r>
          </w:p>
        </w:tc>
        <w:tc>
          <w:tcPr>
            <w:tcW w:w="4927"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Az értékelés során figyelembe vett szakmai tapasztalat mibenléte és a nyertes ajánlatban összegszerűen megadott mértéke:</w:t>
            </w: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1.</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2.</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3.</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bl>
    <w:p w:rsidR="0063261A" w:rsidRDefault="0063261A" w:rsidP="0063261A">
      <w:pPr>
        <w:pStyle w:val="Listaszerbekezds"/>
        <w:rPr>
          <w:rFonts w:ascii="Times New Roman" w:hAnsi="Times New Roman"/>
          <w:sz w:val="24"/>
          <w:szCs w:val="24"/>
        </w:rPr>
      </w:pPr>
    </w:p>
    <w:p w:rsidR="007436A0" w:rsidRPr="003C4C75" w:rsidRDefault="007436A0" w:rsidP="007436A0">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340F3F">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340F3F">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340F3F">
        <w:rPr>
          <w:rFonts w:ascii="Times New Roman" w:hAnsi="Times New Roman"/>
          <w:sz w:val="24"/>
          <w:szCs w:val="24"/>
        </w:rPr>
        <w:t>a Mérnökkel</w:t>
      </w:r>
      <w:r>
        <w:rPr>
          <w:rFonts w:ascii="Times New Roman" w:hAnsi="Times New Roman"/>
          <w:sz w:val="24"/>
          <w:szCs w:val="24"/>
        </w:rPr>
        <w:t xml:space="preserve">. </w:t>
      </w:r>
    </w:p>
    <w:p w:rsidR="007436A0" w:rsidRPr="0063261A" w:rsidRDefault="007436A0" w:rsidP="0063261A">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4C0F81" w:rsidRPr="009F3842">
        <w:rPr>
          <w:rFonts w:ascii="Times New Roman" w:eastAsia="Calibri" w:hAnsi="Times New Roman" w:cs="Times New Roman"/>
          <w:sz w:val="24"/>
          <w:szCs w:val="24"/>
        </w:rPr>
        <w:t>(az egyösszegű ajánlati ár</w:t>
      </w:r>
      <w:r w:rsidR="004C0F81">
        <w:rPr>
          <w:rFonts w:ascii="Times New Roman" w:eastAsia="Calibri" w:hAnsi="Times New Roman" w:cs="Times New Roman"/>
          <w:sz w:val="24"/>
          <w:szCs w:val="24"/>
        </w:rPr>
        <w:t xml:space="preserve"> (szerződéses ár)</w:t>
      </w:r>
      <w:r w:rsidR="004C0F81" w:rsidRPr="009F3842">
        <w:rPr>
          <w:rFonts w:ascii="Times New Roman" w:eastAsia="Calibri" w:hAnsi="Times New Roman" w:cs="Times New Roman"/>
          <w:sz w:val="24"/>
          <w:szCs w:val="24"/>
        </w:rPr>
        <w:t xml:space="preserve"> </w:t>
      </w:r>
      <w:r w:rsidR="004C0F81" w:rsidRPr="009F55AD">
        <w:rPr>
          <w:rFonts w:ascii="Times New Roman" w:eastAsia="Calibri" w:hAnsi="Times New Roman" w:cs="Times New Roman"/>
          <w:sz w:val="24"/>
          <w:szCs w:val="24"/>
        </w:rPr>
        <w:t>10%-a</w:t>
      </w:r>
      <w:r w:rsidR="004C0F81" w:rsidRPr="009F3842">
        <w:rPr>
          <w:rFonts w:ascii="Times New Roman" w:eastAsia="Calibri" w:hAnsi="Times New Roman" w:cs="Times New Roman"/>
          <w:sz w:val="24"/>
          <w:szCs w:val="24"/>
        </w:rPr>
        <w:t xml:space="preserve">, de legfeljebb </w:t>
      </w:r>
      <w:r w:rsidR="00A513D8">
        <w:rPr>
          <w:rFonts w:ascii="Times New Roman" w:eastAsia="Calibri" w:hAnsi="Times New Roman" w:cs="Times New Roman"/>
          <w:sz w:val="24"/>
          <w:szCs w:val="24"/>
          <w:lang w:val="en-GB"/>
        </w:rPr>
        <w:t>222.000</w:t>
      </w:r>
      <w:r w:rsidR="00085534" w:rsidRPr="00085534">
        <w:rPr>
          <w:rFonts w:ascii="Times New Roman" w:eastAsia="Calibri" w:hAnsi="Times New Roman" w:cs="Times New Roman"/>
          <w:sz w:val="24"/>
          <w:szCs w:val="24"/>
          <w:lang w:val="en-GB"/>
        </w:rPr>
        <w:t>.000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A513D8">
        <w:rPr>
          <w:rFonts w:ascii="Times New Roman" w:eastAsia="Calibri" w:hAnsi="Times New Roman" w:cs="Times New Roman"/>
          <w:sz w:val="24"/>
          <w:szCs w:val="24"/>
        </w:rPr>
        <w:t>kétszázhuszonkétmillió</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CE60B4" w:rsidRPr="002E2896">
        <w:rPr>
          <w:rFonts w:ascii="Times New Roman" w:eastAsia="Calibri" w:hAnsi="Times New Roman" w:cs="Times New Roman"/>
          <w:sz w:val="24"/>
          <w:szCs w:val="24"/>
        </w:rPr>
        <w:t xml:space="preserve">A százalékban kifejezett tartalékkeret </w:t>
      </w:r>
      <w:r w:rsidR="00CE60B4">
        <w:rPr>
          <w:rFonts w:ascii="Times New Roman" w:eastAsia="Calibri" w:hAnsi="Times New Roman" w:cs="Times New Roman"/>
          <w:sz w:val="24"/>
          <w:szCs w:val="24"/>
        </w:rPr>
        <w:t xml:space="preserve">mértékének </w:t>
      </w:r>
      <w:r w:rsidR="00CE60B4" w:rsidRPr="002E2896">
        <w:rPr>
          <w:rFonts w:ascii="Times New Roman" w:eastAsia="Calibri" w:hAnsi="Times New Roman" w:cs="Times New Roman"/>
          <w:sz w:val="24"/>
          <w:szCs w:val="24"/>
        </w:rPr>
        <w:t>alapja a szerződés szerinti, általános forgalmi adó nélkül számított ellenszolgáltatás.</w:t>
      </w:r>
      <w:r w:rsidR="00CE60B4">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§-nak megfelelően fordított ÁFA hatálya alá esik.</w:t>
      </w:r>
      <w:r w:rsidR="00CF6EB0">
        <w:rPr>
          <w:rFonts w:ascii="Times New Roman" w:eastAsia="Calibri" w:hAnsi="Times New Roman" w:cs="Times New Roman"/>
          <w:sz w:val="24"/>
          <w:szCs w:val="24"/>
        </w:rPr>
        <w:t xml:space="preserve"> </w:t>
      </w:r>
      <w:r w:rsidR="00CF6EB0" w:rsidRPr="00ED76BE">
        <w:rPr>
          <w:rFonts w:ascii="Times New Roman" w:eastAsia="Calibri" w:hAnsi="Times New Roman" w:cs="Times New Roman"/>
          <w:sz w:val="24"/>
          <w:szCs w:val="24"/>
        </w:rPr>
        <w:t xml:space="preserve">A tartalékkeret az Általános feltételek 13.5 Alcikkelye, valamint a jelen Szerződés mellékletét képező </w:t>
      </w:r>
      <w:r w:rsidR="00CF6EB0" w:rsidRPr="00ED76BE">
        <w:rPr>
          <w:rFonts w:ascii="Times New Roman" w:eastAsia="Calibri" w:hAnsi="Times New Roman" w:cs="Times New Roman"/>
          <w:i/>
          <w:sz w:val="24"/>
          <w:szCs w:val="24"/>
        </w:rPr>
        <w:t>Útmutató a Változtatások, Vállalkozói követelések kezeléséhez és a Szerződés módosításához</w:t>
      </w:r>
      <w:r w:rsidR="00CF6EB0" w:rsidRPr="00ED76BE">
        <w:rPr>
          <w:rFonts w:ascii="Times New Roman" w:eastAsia="Calibri" w:hAnsi="Times New Roman" w:cs="Times New Roman"/>
          <w:sz w:val="24"/>
          <w:szCs w:val="24"/>
        </w:rPr>
        <w:t xml:space="preserve"> című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973638">
        <w:rPr>
          <w:rFonts w:ascii="Times New Roman" w:eastAsia="Times New Roman" w:hAnsi="Times New Roman" w:cs="Times New Roman"/>
          <w:sz w:val="24"/>
          <w:szCs w:val="24"/>
        </w:rPr>
        <w:t>és tervezési</w:t>
      </w:r>
      <w:r w:rsidR="00973638" w:rsidRPr="00503AC9">
        <w:rPr>
          <w:rFonts w:ascii="Times New Roman" w:eastAsia="Times New Roman" w:hAnsi="Times New Roman" w:cs="Times New Roman"/>
          <w:sz w:val="24"/>
          <w:szCs w:val="24"/>
        </w:rPr>
        <w:t xml:space="preserve">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AE7E79"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számlát </w:t>
      </w:r>
      <w:r w:rsidR="00D977A2" w:rsidRPr="00D977A2">
        <w:rPr>
          <w:rFonts w:ascii="Times New Roman" w:eastAsia="Calibri" w:hAnsi="Times New Roman" w:cs="Times New Roman"/>
          <w:snapToGrid w:val="0"/>
          <w:sz w:val="24"/>
          <w:szCs w:val="24"/>
        </w:rPr>
        <w:t xml:space="preserve"> részletes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6966BD">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AE7E79"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73638">
        <w:rPr>
          <w:rFonts w:ascii="Times New Roman" w:eastAsia="Calibri" w:hAnsi="Times New Roman" w:cs="Times New Roman"/>
          <w:snapToGrid w:val="0"/>
          <w:sz w:val="24"/>
          <w:szCs w:val="24"/>
        </w:rPr>
        <w:t>10</w:t>
      </w:r>
      <w:r w:rsidR="00973638"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kell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CF6EB0" w:rsidRPr="00CF6EB0">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36/A.§</w:t>
      </w:r>
      <w:r w:rsidR="009D568E" w:rsidRPr="009D568E">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lastRenderedPageBreak/>
        <w:t>Vállalkozó indikatív pénzügyi ütemtervének megfelelően kezdeményezhet számla benyújtást az ÁSZF 1.1.4.12 [„Kimutatás”] szerinti dokumentumban bemutatottak szerint.</w:t>
      </w:r>
      <w:r w:rsidR="00CF6EB0">
        <w:rPr>
          <w:rFonts w:ascii="Times New Roman" w:eastAsia="Calibri" w:hAnsi="Times New Roman" w:cs="Times New Roman"/>
          <w:snapToGrid w:val="0"/>
          <w:sz w:val="24"/>
          <w:szCs w:val="24"/>
        </w:rPr>
        <w:t xml:space="preserve"> Vállalkozó a szerződés hatálybalépését követő 28 napon belül köteles i</w:t>
      </w:r>
      <w:r w:rsidR="00CF6EB0" w:rsidRPr="00ED76BE">
        <w:rPr>
          <w:rFonts w:ascii="Times New Roman" w:eastAsia="Calibri" w:hAnsi="Times New Roman" w:cs="Times New Roman"/>
          <w:snapToGrid w:val="0"/>
          <w:sz w:val="24"/>
          <w:szCs w:val="24"/>
        </w:rPr>
        <w:t>ndikatív pénzügyi ütemterv</w:t>
      </w:r>
      <w:r w:rsidR="00CF6EB0">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CF6EB0" w:rsidRDefault="00CF6EB0"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973638" w:rsidRPr="00023448" w:rsidRDefault="00973638" w:rsidP="0097363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10%-a és az igényelt szállítói előleg különbözetére jutó támogatás összegének megfelelő mértékben az irányító hatóság javára a Kbt. 134. § (6) bekezdése vagy a 83. § (1) bekezdése szerint, vagy</w:t>
      </w:r>
    </w:p>
    <w:p w:rsidR="00973638" w:rsidRPr="00023448" w:rsidRDefault="00973638" w:rsidP="0097363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 melléklet 134.4. pontja alkalmazandó.</w:t>
      </w:r>
    </w:p>
    <w:p w:rsidR="00863046" w:rsidRDefault="00863046" w:rsidP="005321A8">
      <w:pPr>
        <w:tabs>
          <w:tab w:val="num" w:pos="709"/>
        </w:tabs>
        <w:spacing w:after="0" w:line="240" w:lineRule="auto"/>
        <w:ind w:left="709" w:hanging="709"/>
        <w:jc w:val="both"/>
        <w:rPr>
          <w:rFonts w:ascii="Times New Roman" w:eastAsia="Times New Roman" w:hAnsi="Times New Roman" w:cs="Times New Roman"/>
          <w:sz w:val="24"/>
          <w:szCs w:val="24"/>
        </w:rPr>
      </w:pPr>
    </w:p>
    <w:p w:rsidR="0019169D" w:rsidRPr="007E334B" w:rsidRDefault="005321A8" w:rsidP="005321A8">
      <w:pPr>
        <w:tabs>
          <w:tab w:val="num" w:pos="709"/>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046">
        <w:rPr>
          <w:rFonts w:ascii="Times New Roman" w:eastAsia="Times New Roman" w:hAnsi="Times New Roman" w:cs="Times New Roman"/>
          <w:sz w:val="24"/>
          <w:szCs w:val="24"/>
        </w:rPr>
        <w:t>A</w:t>
      </w:r>
      <w:r w:rsidR="0019169D" w:rsidRPr="007E334B">
        <w:rPr>
          <w:rFonts w:ascii="Times New Roman" w:eastAsia="Times New Roman" w:hAnsi="Times New Roman" w:cs="Times New Roman"/>
          <w:sz w:val="24"/>
          <w:szCs w:val="24"/>
        </w:rPr>
        <w:t xml:space="preserve"> szállítói előleget az előlegbekérő dokumentum benyújtásával a </w:t>
      </w:r>
      <w:r w:rsidR="00863046">
        <w:rPr>
          <w:rFonts w:ascii="Times New Roman" w:eastAsia="Times New Roman" w:hAnsi="Times New Roman" w:cs="Times New Roman"/>
          <w:sz w:val="24"/>
          <w:szCs w:val="24"/>
        </w:rPr>
        <w:t>Vállalkozó</w:t>
      </w:r>
      <w:r w:rsidR="0019169D" w:rsidRPr="007E334B">
        <w:rPr>
          <w:rFonts w:ascii="Times New Roman" w:eastAsia="Times New Roman" w:hAnsi="Times New Roman" w:cs="Times New Roman"/>
          <w:sz w:val="24"/>
          <w:szCs w:val="24"/>
        </w:rPr>
        <w:t xml:space="preserve"> közvetlenül az irányító hatóságtól igényelheti a kedvezményezett </w:t>
      </w:r>
      <w:r w:rsidR="00863046">
        <w:rPr>
          <w:rFonts w:ascii="Times New Roman" w:eastAsia="Times New Roman" w:hAnsi="Times New Roman" w:cs="Times New Roman"/>
          <w:sz w:val="24"/>
          <w:szCs w:val="24"/>
        </w:rPr>
        <w:t>(Megrendelő)</w:t>
      </w:r>
      <w:r w:rsidR="00B90A56">
        <w:rPr>
          <w:rFonts w:ascii="Times New Roman" w:eastAsia="Times New Roman" w:hAnsi="Times New Roman" w:cs="Times New Roman"/>
          <w:sz w:val="24"/>
          <w:szCs w:val="24"/>
        </w:rPr>
        <w:t xml:space="preserve"> </w:t>
      </w:r>
      <w:r w:rsidR="0019169D" w:rsidRPr="007E334B">
        <w:rPr>
          <w:rFonts w:ascii="Times New Roman" w:eastAsia="Times New Roman" w:hAnsi="Times New Roman" w:cs="Times New Roman"/>
          <w:sz w:val="24"/>
          <w:szCs w:val="24"/>
        </w:rPr>
        <w:t>egyidejű értesítése mellett.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az értesítéstől számított öt napon belül jelezheti a szállítói </w:t>
      </w:r>
      <w:r w:rsidR="0019169D" w:rsidRPr="007E334B">
        <w:rPr>
          <w:rFonts w:ascii="Times New Roman" w:eastAsia="Times New Roman" w:hAnsi="Times New Roman" w:cs="Times New Roman"/>
          <w:sz w:val="24"/>
          <w:szCs w:val="24"/>
        </w:rPr>
        <w:lastRenderedPageBreak/>
        <w:t>előleggel kapcsolatos fenntartását. Ennek hiányában a szállítói előleg-igénylést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973638" w:rsidRPr="0046057D" w:rsidRDefault="00973638" w:rsidP="00973638">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973638" w:rsidRPr="009F3842" w:rsidRDefault="0097363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-vállalkozói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xml:space="preserve">, annak elvégzése a Vállakozó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9D568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0080419B"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0080419B" w:rsidRPr="005321A8">
        <w:rPr>
          <w:rFonts w:ascii="Times New Roman" w:eastAsia="Calibri" w:hAnsi="Times New Roman" w:cs="Times New Roman"/>
          <w:snapToGrid w:val="0"/>
          <w:sz w:val="24"/>
          <w:szCs w:val="24"/>
        </w:rPr>
        <w:t>.</w:t>
      </w:r>
      <w:r w:rsidR="006341C7">
        <w:rPr>
          <w:rFonts w:ascii="Times New Roman" w:eastAsia="Calibri" w:hAnsi="Times New Roman" w:cs="Times New Roman"/>
          <w:snapToGrid w:val="0"/>
          <w:sz w:val="24"/>
          <w:szCs w:val="24"/>
        </w:rPr>
        <w:t xml:space="preserve"> Pótmunkaként nem számolható el olyan költség, mely az „</w:t>
      </w:r>
      <w:r w:rsidR="006341C7" w:rsidRPr="007D6C5E">
        <w:rPr>
          <w:rFonts w:ascii="Times New Roman" w:eastAsia="Calibri" w:hAnsi="Times New Roman" w:cs="Times New Roman"/>
          <w:snapToGrid w:val="0"/>
          <w:sz w:val="24"/>
          <w:szCs w:val="24"/>
        </w:rPr>
        <w:t>Árvízvédelmi fejlesztések</w:t>
      </w:r>
      <w:r w:rsidR="006341C7">
        <w:rPr>
          <w:rFonts w:ascii="Times New Roman" w:eastAsia="Calibri" w:hAnsi="Times New Roman" w:cs="Times New Roman"/>
          <w:snapToGrid w:val="0"/>
          <w:sz w:val="24"/>
          <w:szCs w:val="24"/>
        </w:rPr>
        <w:t xml:space="preserve">” című </w:t>
      </w:r>
      <w:r w:rsidR="006341C7" w:rsidRPr="007D6C5E">
        <w:rPr>
          <w:rFonts w:ascii="Times New Roman" w:eastAsia="Calibri" w:hAnsi="Times New Roman" w:cs="Times New Roman"/>
          <w:snapToGrid w:val="0"/>
          <w:sz w:val="24"/>
          <w:szCs w:val="24"/>
        </w:rPr>
        <w:t>KEHOP-1.4.0/2015</w:t>
      </w:r>
      <w:r w:rsidR="006341C7">
        <w:rPr>
          <w:rFonts w:ascii="Times New Roman" w:eastAsia="Calibri" w:hAnsi="Times New Roman" w:cs="Times New Roman"/>
          <w:snapToGrid w:val="0"/>
          <w:sz w:val="24"/>
          <w:szCs w:val="24"/>
        </w:rPr>
        <w:t xml:space="preserve"> kódszámú pályázati felhívás (elérhetősége: </w:t>
      </w:r>
      <w:hyperlink r:id="rId17" w:history="1">
        <w:r w:rsidR="006341C7" w:rsidRPr="00205819">
          <w:rPr>
            <w:rStyle w:val="Hiperhivatkozs"/>
            <w:rFonts w:ascii="Times New Roman" w:eastAsia="Calibri" w:hAnsi="Times New Roman"/>
            <w:snapToGrid w:val="0"/>
            <w:sz w:val="24"/>
            <w:szCs w:val="24"/>
          </w:rPr>
          <w:t>https://www.palyazat.gov.hu/doc/4522</w:t>
        </w:r>
      </w:hyperlink>
      <w:r w:rsidR="006341C7">
        <w:rPr>
          <w:rFonts w:ascii="Times New Roman" w:eastAsia="Calibri" w:hAnsi="Times New Roman" w:cs="Times New Roman"/>
          <w:snapToGrid w:val="0"/>
          <w:sz w:val="24"/>
          <w:szCs w:val="24"/>
        </w:rPr>
        <w:t>) szerint nem elszámolható költségnek minősül.</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Könyv </w:t>
      </w:r>
      <w:r w:rsidRPr="005321A8">
        <w:rPr>
          <w:rFonts w:ascii="Times New Roman" w:eastAsia="Calibri" w:hAnsi="Times New Roman" w:cs="Times New Roman"/>
          <w:snapToGrid w:val="0"/>
          <w:sz w:val="24"/>
          <w:szCs w:val="24"/>
        </w:rPr>
        <w:t>szerződéses rendelkezések alcikkelyei:</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973638" w:rsidRPr="00F63413" w:rsidRDefault="00973638" w:rsidP="00973638">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 a jóváhagyásnak megfelelő mértékben, összegben (FIDIC 13.5. alcikkelynek megfelelően)</w:t>
      </w:r>
      <w:r w:rsidR="00564505">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
    <w:p w:rsidR="00973638" w:rsidRDefault="00973638" w:rsidP="00973638">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csak a jelen szerződés feltételei szerinti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973638">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CF6EB0">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Amennyiben a Vállalkozó a 272/2014. (XI. 5.) Korm. rendelet </w:t>
      </w:r>
      <w:r w:rsidR="00564505">
        <w:rPr>
          <w:rFonts w:ascii="Times New Roman" w:eastAsia="Calibri" w:hAnsi="Times New Roman" w:cs="Times New Roman"/>
          <w:snapToGrid w:val="0"/>
          <w:sz w:val="24"/>
          <w:szCs w:val="24"/>
        </w:rPr>
        <w:t>118/A</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(2</w:t>
      </w:r>
      <w:r w:rsidR="00564505">
        <w:rPr>
          <w:rFonts w:ascii="Times New Roman" w:eastAsia="Calibri" w:hAnsi="Times New Roman" w:cs="Times New Roman"/>
          <w:snapToGrid w:val="0"/>
          <w:sz w:val="24"/>
          <w:szCs w:val="24"/>
        </w:rPr>
        <w:t>a</w:t>
      </w:r>
      <w:r w:rsidRPr="00067A98">
        <w:rPr>
          <w:rFonts w:ascii="Times New Roman" w:eastAsia="Calibri" w:hAnsi="Times New Roman" w:cs="Times New Roman"/>
          <w:snapToGrid w:val="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067A98">
        <w:rPr>
          <w:rFonts w:ascii="Times New Roman" w:eastAsia="Calibri" w:hAnsi="Times New Roman" w:cs="Times New Roman"/>
          <w:snapToGrid w:val="0"/>
          <w:sz w:val="24"/>
          <w:szCs w:val="24"/>
        </w:rPr>
        <w:t>következményeiért</w:t>
      </w:r>
      <w:r w:rsidR="00525C74" w:rsidRPr="00067A98" w:rsidDel="00525C74">
        <w:rPr>
          <w:rFonts w:ascii="Times New Roman" w:eastAsia="Calibri" w:hAnsi="Times New Roman" w:cs="Times New Roman"/>
          <w:snapToGrid w:val="0"/>
          <w:sz w:val="24"/>
          <w:szCs w:val="24"/>
        </w:rPr>
        <w:t xml:space="preserve"> </w:t>
      </w:r>
      <w:r w:rsidRPr="00067A98">
        <w:rPr>
          <w:rFonts w:ascii="Times New Roman" w:eastAsia="Calibri" w:hAnsi="Times New Roman" w:cs="Times New Roman"/>
          <w:snapToGrid w:val="0"/>
          <w:sz w:val="24"/>
          <w:szCs w:val="24"/>
        </w:rPr>
        <w:t>a felelősséget Vállalkozó köteles viselni</w:t>
      </w:r>
      <w:r w:rsidR="00067A98">
        <w:rPr>
          <w:rFonts w:ascii="Times New Roman" w:eastAsia="Calibri" w:hAnsi="Times New Roman" w:cs="Times New Roman"/>
          <w:snapToGrid w:val="0"/>
          <w:sz w:val="24"/>
          <w:szCs w:val="24"/>
        </w:rPr>
        <w:t xml:space="preserve"> és Megrendelő ezzel kapcsolatos valamennyi kárát – ideértve a következményi károkat is – megtéríteni.</w:t>
      </w:r>
    </w:p>
    <w:p w:rsidR="00067A98" w:rsidRDefault="00067A98" w:rsidP="0063261A">
      <w:pPr>
        <w:spacing w:after="0" w:line="240" w:lineRule="auto"/>
        <w:ind w:left="709"/>
        <w:jc w:val="both"/>
        <w:rPr>
          <w:rFonts w:ascii="Times New Roman" w:eastAsia="Calibri" w:hAnsi="Times New Roman" w:cs="Times New Roman"/>
          <w:snapToGrid w:val="0"/>
          <w:sz w:val="24"/>
          <w:szCs w:val="24"/>
        </w:rPr>
      </w:pPr>
    </w:p>
    <w:p w:rsidR="00EA17AD" w:rsidRP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lastRenderedPageBreak/>
        <w:t xml:space="preserve">Amennyiben a Vállalkozó a 272/2014. (XI. 5.) Korm. rendelet </w:t>
      </w:r>
      <w:r w:rsidR="00564505">
        <w:rPr>
          <w:rFonts w:ascii="Times New Roman" w:eastAsia="Calibri" w:hAnsi="Times New Roman" w:cs="Times New Roman"/>
          <w:snapToGrid w:val="0"/>
          <w:sz w:val="24"/>
          <w:szCs w:val="24"/>
        </w:rPr>
        <w:t>118/A</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(2</w:t>
      </w:r>
      <w:r w:rsidR="00564505">
        <w:rPr>
          <w:rFonts w:ascii="Times New Roman" w:eastAsia="Calibri" w:hAnsi="Times New Roman" w:cs="Times New Roman"/>
          <w:snapToGrid w:val="0"/>
          <w:sz w:val="24"/>
          <w:szCs w:val="24"/>
        </w:rPr>
        <w:t>a</w:t>
      </w:r>
      <w:r w:rsidRPr="00067A98">
        <w:rPr>
          <w:rFonts w:ascii="Times New Roman" w:eastAsia="Calibri" w:hAnsi="Times New Roman" w:cs="Times New Roman"/>
          <w:snapToGrid w:val="0"/>
          <w:sz w:val="24"/>
          <w:szCs w:val="24"/>
        </w:rPr>
        <w:t>) bekezdés b) pontjában foglaltak</w:t>
      </w:r>
      <w:r w:rsidR="00564505">
        <w:rPr>
          <w:rFonts w:ascii="Times New Roman" w:eastAsia="Calibri" w:hAnsi="Times New Roman" w:cs="Times New Roman"/>
          <w:snapToGrid w:val="0"/>
          <w:sz w:val="24"/>
          <w:szCs w:val="24"/>
        </w:rPr>
        <w:t xml:space="preserve"> kerültek alkalmazásra</w:t>
      </w:r>
      <w:r w:rsidRPr="00067A98">
        <w:rPr>
          <w:rFonts w:ascii="Times New Roman" w:eastAsia="Calibri" w:hAnsi="Times New Roman" w:cs="Times New Roman"/>
          <w:snapToGrid w:val="0"/>
          <w:sz w:val="24"/>
          <w:szCs w:val="24"/>
        </w:rPr>
        <w:t xml:space="preserve">, úgy köteles a szerződés elszámolható összegének 10%-a és az igényelt, de még el nem számolt előleg különbözetére jutó támogatás összegének megfelelő mértékű, Megrendelő javára szóló, </w:t>
      </w:r>
      <w:r w:rsidR="00452E23" w:rsidRPr="00067A98">
        <w:rPr>
          <w:rFonts w:ascii="Times New Roman" w:eastAsia="Calibri" w:hAnsi="Times New Roman" w:cs="Times New Roman"/>
          <w:snapToGrid w:val="0"/>
          <w:sz w:val="24"/>
          <w:szCs w:val="24"/>
        </w:rPr>
        <w:t xml:space="preserve">272/2014. (XI. 5.) Korm. rendelet </w:t>
      </w:r>
      <w:r w:rsidR="00564505">
        <w:rPr>
          <w:rFonts w:ascii="Times New Roman" w:eastAsia="Calibri" w:hAnsi="Times New Roman" w:cs="Times New Roman"/>
          <w:snapToGrid w:val="0"/>
          <w:sz w:val="24"/>
          <w:szCs w:val="24"/>
        </w:rPr>
        <w:t>118/A.</w:t>
      </w:r>
      <w:r w:rsidR="00564505" w:rsidRPr="00067A98">
        <w:rPr>
          <w:rFonts w:ascii="Times New Roman" w:eastAsia="Calibri" w:hAnsi="Times New Roman" w:cs="Times New Roman"/>
          <w:snapToGrid w:val="0"/>
          <w:sz w:val="24"/>
          <w:szCs w:val="24"/>
        </w:rPr>
        <w:t xml:space="preserve"> </w:t>
      </w:r>
      <w:r w:rsidR="00452E23" w:rsidRPr="00067A98">
        <w:rPr>
          <w:rFonts w:ascii="Times New Roman" w:eastAsia="Calibri" w:hAnsi="Times New Roman" w:cs="Times New Roman"/>
          <w:snapToGrid w:val="0"/>
          <w:sz w:val="24"/>
          <w:szCs w:val="24"/>
        </w:rPr>
        <w:t>§ (2</w:t>
      </w:r>
      <w:r w:rsidR="00564505">
        <w:rPr>
          <w:rFonts w:ascii="Times New Roman" w:eastAsia="Calibri" w:hAnsi="Times New Roman" w:cs="Times New Roman"/>
          <w:snapToGrid w:val="0"/>
          <w:sz w:val="24"/>
          <w:szCs w:val="24"/>
        </w:rPr>
        <w:t>a</w:t>
      </w:r>
      <w:r w:rsidR="00452E23" w:rsidRPr="00067A98">
        <w:rPr>
          <w:rFonts w:ascii="Times New Roman" w:eastAsia="Calibri" w:hAnsi="Times New Roman" w:cs="Times New Roman"/>
          <w:snapToGrid w:val="0"/>
          <w:sz w:val="24"/>
          <w:szCs w:val="24"/>
        </w:rPr>
        <w:t xml:space="preserve">) bekezdés a) pontban meghatározott formában illetve módon </w:t>
      </w:r>
      <w:r w:rsidRPr="00067A98">
        <w:rPr>
          <w:rFonts w:ascii="Times New Roman" w:eastAsia="Calibri" w:hAnsi="Times New Roman" w:cs="Times New Roman"/>
          <w:snapToGrid w:val="0"/>
          <w:sz w:val="24"/>
          <w:szCs w:val="24"/>
        </w:rPr>
        <w:t>biztosítékot nyújtani, mely biztosíték nyújtása hiányában a jelen bekezdésben foglaltak szerinti módosulás nem következik be, melynek következményeiért a felelősséget Vállalkozó köteles viselni, és Megrendelő ezzel kapcsolatos valamennyi kárát - ideértve a következményi károkat is</w:t>
      </w:r>
      <w:r w:rsidR="0063261A">
        <w:rPr>
          <w:rFonts w:ascii="Times New Roman" w:eastAsia="Calibri" w:hAnsi="Times New Roman" w:cs="Times New Roman"/>
          <w:snapToGrid w:val="0"/>
          <w:sz w:val="24"/>
          <w:szCs w:val="24"/>
        </w:rPr>
        <w:t xml:space="preserve"> </w:t>
      </w:r>
      <w:r w:rsidRPr="00067A98">
        <w:rPr>
          <w:rFonts w:ascii="Times New Roman" w:eastAsia="Calibri" w:hAnsi="Times New Roman" w:cs="Times New Roman"/>
          <w:snapToGrid w:val="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 xml:space="preserve">Vállalkozó tudomásul veszi továbbá, hogy abban az esetben ha  a jelen pontnak megfelelő jogfenntartó nyilatkozatot tesz is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28 napos határidőt, amely ezen cikkben kifejezetten rögzítésre került jogvesztő </w:t>
      </w:r>
      <w:r w:rsidRPr="0063261A">
        <w:rPr>
          <w:rFonts w:ascii="Times New Roman" w:eastAsia="Calibri" w:hAnsi="Times New Roman" w:cs="Times New Roman"/>
          <w:snapToGrid w:val="0"/>
          <w:sz w:val="24"/>
          <w:szCs w:val="24"/>
        </w:rPr>
        <w:lastRenderedPageBreak/>
        <w:t xml:space="preserve">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Alcikkely alkalmazásának lehetősége merül fel és elutasításnak lehet helye, abban az esetben az elutasításra Mérnök önállóan </w:t>
      </w:r>
      <w:r w:rsidR="00CF6EB0">
        <w:rPr>
          <w:rFonts w:ascii="Times New Roman" w:eastAsia="Calibri" w:hAnsi="Times New Roman" w:cs="Times New Roman"/>
          <w:snapToGrid w:val="0"/>
          <w:sz w:val="24"/>
          <w:szCs w:val="24"/>
        </w:rPr>
        <w:t>Megrendelő</w:t>
      </w:r>
      <w:r w:rsidR="00CF6EB0"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lcikkelye szerint megállapított Kezdési Időponttól </w:t>
      </w:r>
      <w:r w:rsidR="00F851D1">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 xml:space="preserve">esíteni, azaz a műszaki átadás-átvételt megkezdeni. </w:t>
      </w:r>
      <w:r w:rsidR="00C5522F">
        <w:rPr>
          <w:rFonts w:ascii="Times New Roman" w:eastAsia="Calibri" w:hAnsi="Times New Roman" w:cs="Times New Roman"/>
          <w:sz w:val="24"/>
          <w:szCs w:val="24"/>
        </w:rPr>
        <w:t xml:space="preserve">A készrejelentés, és a műszaki átadás- átvételi eljárás megkezdése előtt a vállalkozónak dokumentáltan (próbaüzemi zárójelentés) le kell zárnia a kötelező 3 hónap próbaüzemi időszakot minden műtárgy esetén. </w:t>
      </w:r>
      <w:r w:rsidR="00CF6EB0"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Default="007077B3" w:rsidP="007077B3">
      <w:pPr>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szerződésre vonatkozó </w:t>
      </w:r>
      <w:r w:rsidR="00F46D96">
        <w:rPr>
          <w:rFonts w:ascii="Times New Roman" w:eastAsia="Calibri" w:hAnsi="Times New Roman" w:cs="Times New Roman"/>
          <w:sz w:val="24"/>
          <w:szCs w:val="24"/>
        </w:rPr>
        <w:t>határidők:</w:t>
      </w:r>
    </w:p>
    <w:p w:rsidR="00F46D96" w:rsidRPr="00F46D96" w:rsidRDefault="00F46D96" w:rsidP="00CA3BDD">
      <w:pPr>
        <w:pStyle w:val="Listaszerbekezds"/>
        <w:numPr>
          <w:ilvl w:val="0"/>
          <w:numId w:val="31"/>
        </w:numPr>
        <w:spacing w:after="0" w:line="240" w:lineRule="auto"/>
        <w:jc w:val="both"/>
        <w:rPr>
          <w:rFonts w:ascii="Times New Roman" w:hAnsi="Times New Roman"/>
          <w:sz w:val="24"/>
          <w:szCs w:val="24"/>
        </w:rPr>
      </w:pPr>
      <w:r w:rsidRPr="00F46D96">
        <w:rPr>
          <w:rFonts w:ascii="Times New Roman" w:eastAsia="Times New Roman" w:hAnsi="Times New Roman"/>
          <w:sz w:val="24"/>
          <w:szCs w:val="24"/>
        </w:rPr>
        <w:t xml:space="preserve">az építőipari kivitelezési tevékenység megkezdéséhez szükséges munkaterület átadás, mely egyben </w:t>
      </w:r>
      <w:r w:rsidR="00765D73" w:rsidRPr="00F46D96">
        <w:rPr>
          <w:rFonts w:ascii="Times New Roman" w:eastAsia="Times New Roman" w:hAnsi="Times New Roman"/>
          <w:sz w:val="24"/>
          <w:szCs w:val="24"/>
        </w:rPr>
        <w:t>az építési napló megnyitásának</w:t>
      </w:r>
      <w:r w:rsidRPr="00F46D96">
        <w:rPr>
          <w:rFonts w:ascii="Times New Roman" w:eastAsia="Times New Roman" w:hAnsi="Times New Roman"/>
          <w:sz w:val="24"/>
          <w:szCs w:val="24"/>
        </w:rPr>
        <w:t xml:space="preserve"> időpontja</w:t>
      </w:r>
      <w:r w:rsidR="00765D73" w:rsidRPr="00F46D96">
        <w:rPr>
          <w:rFonts w:ascii="Times New Roman" w:eastAsia="Times New Roman" w:hAnsi="Times New Roman"/>
          <w:sz w:val="24"/>
          <w:szCs w:val="24"/>
        </w:rPr>
        <w:t>,</w:t>
      </w:r>
      <w:r w:rsidRPr="00F46D96">
        <w:rPr>
          <w:rFonts w:ascii="Times New Roman" w:eastAsia="Times New Roman" w:hAnsi="Times New Roman"/>
          <w:sz w:val="24"/>
          <w:szCs w:val="24"/>
        </w:rPr>
        <w:t xml:space="preserve"> és</w:t>
      </w:r>
      <w:r w:rsidR="00765D73" w:rsidRPr="00F46D96">
        <w:rPr>
          <w:rFonts w:ascii="Times New Roman" w:eastAsia="Times New Roman" w:hAnsi="Times New Roman"/>
          <w:sz w:val="24"/>
          <w:szCs w:val="24"/>
        </w:rPr>
        <w:t xml:space="preserve"> a tervezett kezdésnek</w:t>
      </w:r>
      <w:r w:rsidRPr="00F46D96">
        <w:rPr>
          <w:rFonts w:ascii="Times New Roman" w:eastAsia="Times New Roman" w:hAnsi="Times New Roman"/>
          <w:sz w:val="24"/>
          <w:szCs w:val="24"/>
        </w:rPr>
        <w:t xml:space="preserve"> az időpontja: a munkakezdési engedély kiadását követő 5 munkanapon belül </w:t>
      </w:r>
    </w:p>
    <w:p w:rsidR="00765D73" w:rsidRPr="00F46D96" w:rsidRDefault="00765D73" w:rsidP="00CA3BDD">
      <w:pPr>
        <w:pStyle w:val="Listaszerbekezds"/>
        <w:numPr>
          <w:ilvl w:val="0"/>
          <w:numId w:val="31"/>
        </w:numPr>
        <w:spacing w:after="0" w:line="240" w:lineRule="auto"/>
        <w:jc w:val="both"/>
        <w:rPr>
          <w:rFonts w:ascii="Times New Roman" w:eastAsia="Times New Roman" w:hAnsi="Times New Roman"/>
          <w:sz w:val="24"/>
          <w:szCs w:val="24"/>
        </w:rPr>
      </w:pPr>
      <w:r w:rsidRPr="00F46D96">
        <w:rPr>
          <w:rFonts w:ascii="Times New Roman" w:eastAsia="Times New Roman" w:hAnsi="Times New Roman"/>
          <w:sz w:val="24"/>
          <w:szCs w:val="24"/>
        </w:rPr>
        <w:t>a birtokbaadás határide</w:t>
      </w:r>
      <w:r w:rsidR="00F46D96">
        <w:rPr>
          <w:rFonts w:ascii="Times New Roman" w:eastAsia="Times New Roman" w:hAnsi="Times New Roman"/>
          <w:sz w:val="24"/>
          <w:szCs w:val="24"/>
        </w:rPr>
        <w:t>je, határnapja: az átadás-átvételi eljárás sikeres lezárásának napja.</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7077B3" w:rsidP="007077B3">
      <w:pPr>
        <w:numPr>
          <w:ilvl w:val="1"/>
          <w:numId w:val="5"/>
        </w:numPr>
        <w:spacing w:after="0" w:line="240" w:lineRule="auto"/>
        <w:jc w:val="both"/>
        <w:rPr>
          <w:rFonts w:ascii="Times New Roman" w:eastAsia="Calibri" w:hAnsi="Times New Roman" w:cs="Times New Roman"/>
          <w:sz w:val="24"/>
          <w:szCs w:val="24"/>
        </w:rPr>
      </w:pPr>
      <w:r w:rsidRPr="00975B8D">
        <w:rPr>
          <w:rFonts w:ascii="Times New Roman" w:eastAsia="Calibri" w:hAnsi="Times New Roman" w:cs="Times New Roman"/>
          <w:sz w:val="24"/>
          <w:szCs w:val="24"/>
        </w:rPr>
        <w:lastRenderedPageBreak/>
        <w:t xml:space="preserve">Felek megállapodnak abban, hogy a szerződésben foglalt szolgáltatást jogilag oszthatatlannak minősítik, azonban Felek a teljesítési határidőn belül részhatáridőkben 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Deák Ferenc zsilip felújítási munkái: </w:t>
      </w:r>
      <w:r w:rsidRPr="009F3842">
        <w:rPr>
          <w:rFonts w:ascii="Times New Roman" w:hAnsi="Times New Roman"/>
          <w:sz w:val="24"/>
          <w:szCs w:val="24"/>
        </w:rPr>
        <w:t xml:space="preserve">az Általános és Különös Feltételek 8.1 </w:t>
      </w:r>
      <w:r>
        <w:rPr>
          <w:rFonts w:ascii="Times New Roman" w:hAnsi="Times New Roman"/>
          <w:sz w:val="24"/>
          <w:szCs w:val="24"/>
        </w:rPr>
        <w:t>A</w:t>
      </w:r>
      <w:r w:rsidRPr="009F3842">
        <w:rPr>
          <w:rFonts w:ascii="Times New Roman" w:hAnsi="Times New Roman"/>
          <w:sz w:val="24"/>
          <w:szCs w:val="24"/>
        </w:rPr>
        <w:t>lcikkelye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Dunakiliti vízlépcső felújítási munkái: </w:t>
      </w:r>
      <w:r w:rsidR="00F851D1" w:rsidRPr="009F3842">
        <w:rPr>
          <w:rFonts w:ascii="Times New Roman" w:hAnsi="Times New Roman"/>
          <w:sz w:val="24"/>
          <w:szCs w:val="24"/>
        </w:rPr>
        <w:t xml:space="preserve">az Általános és Különös Feltételek 8.1 </w:t>
      </w:r>
      <w:r w:rsidR="00F851D1">
        <w:rPr>
          <w:rFonts w:ascii="Times New Roman" w:hAnsi="Times New Roman"/>
          <w:sz w:val="24"/>
          <w:szCs w:val="24"/>
        </w:rPr>
        <w:t>A</w:t>
      </w:r>
      <w:r w:rsidR="00F851D1" w:rsidRPr="009F3842">
        <w:rPr>
          <w:rFonts w:ascii="Times New Roman" w:hAnsi="Times New Roman"/>
          <w:sz w:val="24"/>
          <w:szCs w:val="24"/>
        </w:rPr>
        <w:t>lcikkelye szerint megállapított Kezdési Időponttól</w:t>
      </w:r>
      <w:r w:rsidR="00F851D1">
        <w:rPr>
          <w:rFonts w:ascii="Times New Roman" w:hAnsi="Times New Roman"/>
          <w:sz w:val="24"/>
          <w:szCs w:val="24"/>
        </w:rPr>
        <w:t xml:space="preserve"> számított 47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Kvassay zsilip felújítási munkái: </w:t>
      </w:r>
      <w:r w:rsidRPr="009F3842">
        <w:rPr>
          <w:rFonts w:ascii="Times New Roman" w:hAnsi="Times New Roman"/>
          <w:sz w:val="24"/>
          <w:szCs w:val="24"/>
        </w:rPr>
        <w:t xml:space="preserve">az Általános és Különös Feltételek 8.1 </w:t>
      </w:r>
      <w:r>
        <w:rPr>
          <w:rFonts w:ascii="Times New Roman" w:hAnsi="Times New Roman"/>
          <w:sz w:val="24"/>
          <w:szCs w:val="24"/>
        </w:rPr>
        <w:t>A</w:t>
      </w:r>
      <w:r w:rsidRPr="009F3842">
        <w:rPr>
          <w:rFonts w:ascii="Times New Roman" w:hAnsi="Times New Roman"/>
          <w:sz w:val="24"/>
          <w:szCs w:val="24"/>
        </w:rPr>
        <w:t>lcikkelye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Nicki duzzasztó felújítási munkái: </w:t>
      </w:r>
      <w:r w:rsidRPr="009F3842">
        <w:rPr>
          <w:rFonts w:ascii="Times New Roman" w:hAnsi="Times New Roman"/>
          <w:sz w:val="24"/>
          <w:szCs w:val="24"/>
        </w:rPr>
        <w:t xml:space="preserve">az Általános és Különös Feltételek 8.1 </w:t>
      </w:r>
      <w:r>
        <w:rPr>
          <w:rFonts w:ascii="Times New Roman" w:hAnsi="Times New Roman"/>
          <w:sz w:val="24"/>
          <w:szCs w:val="24"/>
        </w:rPr>
        <w:t>A</w:t>
      </w:r>
      <w:r w:rsidRPr="009F3842">
        <w:rPr>
          <w:rFonts w:ascii="Times New Roman" w:hAnsi="Times New Roman"/>
          <w:sz w:val="24"/>
          <w:szCs w:val="24"/>
        </w:rPr>
        <w:t>lcikkelye szerint megállapított Kezdési Időponttól</w:t>
      </w:r>
      <w:r>
        <w:rPr>
          <w:rFonts w:ascii="Times New Roman" w:hAnsi="Times New Roman"/>
          <w:sz w:val="24"/>
          <w:szCs w:val="24"/>
        </w:rPr>
        <w:t xml:space="preserve"> számított 24 hónapon belül</w:t>
      </w:r>
    </w:p>
    <w:p w:rsidR="00975B8D" w:rsidRPr="00975B8D"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Góri tározó zsilipjének felújítási munkái: </w:t>
      </w:r>
      <w:r w:rsidR="00975B8D" w:rsidRPr="009F3842">
        <w:rPr>
          <w:rFonts w:ascii="Times New Roman" w:hAnsi="Times New Roman"/>
          <w:sz w:val="24"/>
          <w:szCs w:val="24"/>
        </w:rPr>
        <w:t xml:space="preserve">az Általános és Különös Feltételek 8.1 </w:t>
      </w:r>
      <w:r w:rsidR="00975B8D">
        <w:rPr>
          <w:rFonts w:ascii="Times New Roman" w:hAnsi="Times New Roman"/>
          <w:sz w:val="24"/>
          <w:szCs w:val="24"/>
        </w:rPr>
        <w:t>A</w:t>
      </w:r>
      <w:r w:rsidR="00975B8D" w:rsidRPr="009F3842">
        <w:rPr>
          <w:rFonts w:ascii="Times New Roman" w:hAnsi="Times New Roman"/>
          <w:sz w:val="24"/>
          <w:szCs w:val="24"/>
        </w:rPr>
        <w:t>lcikkelye szerint megállapított Kezdési Időponttól</w:t>
      </w:r>
      <w:r w:rsidR="00975B8D">
        <w:rPr>
          <w:rFonts w:ascii="Times New Roman" w:hAnsi="Times New Roman"/>
          <w:sz w:val="24"/>
          <w:szCs w:val="24"/>
        </w:rPr>
        <w:t xml:space="preserve"> számított 24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az </w:t>
      </w:r>
      <w:r w:rsidR="009A787B">
        <w:rPr>
          <w:rFonts w:ascii="Times New Roman" w:eastAsia="Calibri" w:hAnsi="Times New Roman" w:cs="Times New Roman"/>
          <w:sz w:val="24"/>
          <w:szCs w:val="24"/>
        </w:rPr>
        <w:t xml:space="preserve">idő </w:t>
      </w:r>
      <w:r w:rsidR="00A73393">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9A787B" w:rsidRDefault="00525AA5" w:rsidP="00525AA5">
      <w:pPr>
        <w:numPr>
          <w:ilvl w:val="1"/>
          <w:numId w:val="5"/>
        </w:numPr>
        <w:spacing w:after="0" w:line="240" w:lineRule="auto"/>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Felek a megvalósítás időtartamának meghosszabbításával összefüggésben rögzítik, hogy jelen szerződés értelm</w:t>
      </w:r>
      <w:r w:rsidR="009A787B">
        <w:rPr>
          <w:rFonts w:ascii="Times New Roman" w:eastAsia="Calibri" w:hAnsi="Times New Roman" w:cs="Times New Roman"/>
          <w:sz w:val="24"/>
          <w:szCs w:val="24"/>
        </w:rPr>
        <w:t>é</w:t>
      </w:r>
      <w:r w:rsidRPr="009A787B">
        <w:rPr>
          <w:rFonts w:ascii="Times New Roman" w:eastAsia="Calibri" w:hAnsi="Times New Roman" w:cs="Times New Roman"/>
          <w:sz w:val="24"/>
          <w:szCs w:val="24"/>
        </w:rPr>
        <w:t xml:space="preserve">ben </w:t>
      </w:r>
      <w:r w:rsidR="009A787B">
        <w:rPr>
          <w:rFonts w:ascii="Times New Roman" w:eastAsia="Calibri" w:hAnsi="Times New Roman" w:cs="Times New Roman"/>
          <w:sz w:val="24"/>
          <w:szCs w:val="24"/>
        </w:rPr>
        <w:t>r</w:t>
      </w:r>
      <w:r w:rsidRPr="009A787B">
        <w:rPr>
          <w:rFonts w:ascii="Times New Roman" w:eastAsia="Calibri" w:hAnsi="Times New Roman" w:cs="Times New Roman"/>
          <w:sz w:val="24"/>
          <w:szCs w:val="24"/>
        </w:rPr>
        <w:t>endkívül extrém időjárási viszonyoknak</w:t>
      </w:r>
      <w:r w:rsidR="009A787B">
        <w:rPr>
          <w:rFonts w:ascii="Times New Roman" w:eastAsia="Calibri" w:hAnsi="Times New Roman" w:cs="Times New Roman"/>
          <w:sz w:val="24"/>
          <w:szCs w:val="24"/>
        </w:rPr>
        <w:t xml:space="preserve"> különösen</w:t>
      </w:r>
      <w:r w:rsidRPr="009A787B">
        <w:rPr>
          <w:rFonts w:ascii="Times New Roman" w:eastAsia="Calibri" w:hAnsi="Times New Roman" w:cs="Times New Roman"/>
          <w:sz w:val="24"/>
          <w:szCs w:val="24"/>
        </w:rPr>
        <w:t xml:space="preserve"> az alábbi meteorológiai, hidrometeorológiai, hidrológiai és talajvíz viszonyok minősülnek</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az I. fokú árvízvédelmi vagy belvízvédelmi készültség </w:t>
      </w:r>
      <w:r w:rsidR="0078402F">
        <w:rPr>
          <w:rFonts w:ascii="Times New Roman" w:eastAsia="Calibri" w:hAnsi="Times New Roman" w:cs="Times New Roman"/>
          <w:sz w:val="24"/>
          <w:szCs w:val="24"/>
        </w:rPr>
        <w:t>megszakítás nélkül</w:t>
      </w:r>
      <w:r w:rsidR="009A787B">
        <w:rPr>
          <w:rFonts w:ascii="Times New Roman" w:eastAsia="Calibri" w:hAnsi="Times New Roman" w:cs="Times New Roman"/>
          <w:sz w:val="24"/>
          <w:szCs w:val="24"/>
        </w:rPr>
        <w:t xml:space="preserve"> a </w:t>
      </w:r>
      <w:r w:rsidRPr="009A787B">
        <w:rPr>
          <w:rFonts w:ascii="Times New Roman" w:eastAsia="Calibri" w:hAnsi="Times New Roman" w:cs="Times New Roman"/>
          <w:sz w:val="24"/>
          <w:szCs w:val="24"/>
        </w:rPr>
        <w:t>45 napot</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 II. fokú árvízvédelmi vagy belvízvédelmi készültség </w:t>
      </w:r>
      <w:r w:rsidR="0078402F">
        <w:rPr>
          <w:rFonts w:ascii="Times New Roman" w:eastAsia="Calibri" w:hAnsi="Times New Roman" w:cs="Times New Roman"/>
          <w:sz w:val="24"/>
          <w:szCs w:val="24"/>
        </w:rPr>
        <w:t xml:space="preserve">megszakítás nélkül </w:t>
      </w:r>
      <w:r w:rsidR="009A787B">
        <w:rPr>
          <w:rFonts w:ascii="Times New Roman" w:eastAsia="Calibri" w:hAnsi="Times New Roman" w:cs="Times New Roman"/>
          <w:sz w:val="24"/>
          <w:szCs w:val="24"/>
        </w:rPr>
        <w:t xml:space="preserve">a </w:t>
      </w:r>
      <w:r w:rsidRPr="009A787B">
        <w:rPr>
          <w:rFonts w:ascii="Times New Roman" w:eastAsia="Calibri" w:hAnsi="Times New Roman" w:cs="Times New Roman"/>
          <w:sz w:val="24"/>
          <w:szCs w:val="24"/>
        </w:rPr>
        <w:t>20 napot</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 III. fokú vagy rendkívüli árvízvédelmi vagy belvízvédelmi készültség </w:t>
      </w:r>
      <w:r w:rsidR="0078402F">
        <w:rPr>
          <w:rFonts w:ascii="Times New Roman" w:eastAsia="Calibri" w:hAnsi="Times New Roman" w:cs="Times New Roman"/>
          <w:sz w:val="24"/>
          <w:szCs w:val="24"/>
        </w:rPr>
        <w:t>megszakítás nélkül</w:t>
      </w:r>
      <w:r w:rsidR="009A787B">
        <w:rPr>
          <w:rFonts w:ascii="Times New Roman" w:eastAsia="Calibri" w:hAnsi="Times New Roman" w:cs="Times New Roman"/>
          <w:sz w:val="24"/>
          <w:szCs w:val="24"/>
        </w:rPr>
        <w:t xml:space="preserve"> a </w:t>
      </w:r>
      <w:r w:rsidRPr="009A787B">
        <w:rPr>
          <w:rFonts w:ascii="Times New Roman" w:eastAsia="Calibri" w:hAnsi="Times New Roman" w:cs="Times New Roman"/>
          <w:sz w:val="24"/>
          <w:szCs w:val="24"/>
        </w:rPr>
        <w:t>10 napot</w:t>
      </w:r>
      <w:r w:rsidR="009A787B">
        <w:rPr>
          <w:rFonts w:ascii="Times New Roman" w:eastAsia="Calibri" w:hAnsi="Times New Roman" w:cs="Times New Roman"/>
          <w:sz w:val="24"/>
          <w:szCs w:val="24"/>
        </w:rPr>
        <w:t xml:space="preserve"> eléri</w:t>
      </w:r>
      <w:r w:rsidR="00123952">
        <w:rPr>
          <w:rFonts w:ascii="Times New Roman" w:eastAsia="Calibri" w:hAnsi="Times New Roman" w:cs="Times New Roman"/>
          <w:sz w:val="24"/>
          <w:szCs w:val="24"/>
        </w:rPr>
        <w:t>, vagy meghaladja</w:t>
      </w:r>
    </w:p>
    <w:p w:rsidR="009A787B" w:rsidRPr="009A787B"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szabad</w:t>
      </w:r>
      <w:r w:rsidR="009A787B" w:rsidRPr="009A787B">
        <w:rPr>
          <w:rFonts w:ascii="Times New Roman" w:eastAsia="Calibri" w:hAnsi="Times New Roman" w:cs="Times New Roman"/>
          <w:sz w:val="24"/>
          <w:szCs w:val="24"/>
        </w:rPr>
        <w:t>téren történő munkavégzés esetén:</w:t>
      </w:r>
    </w:p>
    <w:p w:rsidR="00123952"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z w:val="24"/>
          <w:szCs w:val="24"/>
        </w:rPr>
      </w:pPr>
      <w:r w:rsidRPr="00111F59">
        <w:rPr>
          <w:rFonts w:ascii="Times New Roman" w:eastAsia="Calibri" w:hAnsi="Times New Roman" w:cs="Times New Roman"/>
          <w:sz w:val="24"/>
          <w:szCs w:val="24"/>
        </w:rPr>
        <w:t>a munkaterületre hulló csapadékmennyiség 15 nap alatt a 120 mm-t meghaladja</w:t>
      </w:r>
      <w:r>
        <w:rPr>
          <w:rFonts w:ascii="Times New Roman" w:eastAsia="Calibri" w:hAnsi="Times New Roman" w:cs="Times New Roman"/>
          <w:sz w:val="24"/>
          <w:szCs w:val="24"/>
        </w:rPr>
        <w:t xml:space="preserve">;  </w:t>
      </w:r>
    </w:p>
    <w:p w:rsidR="00123952"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11F59">
        <w:rPr>
          <w:rFonts w:ascii="Times New Roman" w:eastAsia="Calibri" w:hAnsi="Times New Roman" w:cs="Times New Roman"/>
          <w:sz w:val="24"/>
          <w:szCs w:val="24"/>
        </w:rPr>
        <w:t xml:space="preserve"> talajvíz</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szintje 90 napnál hosszabb ideig 1,0 m-el meghaladja az Ajánlati</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dokumentáció</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mellékletében csatolt</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Talajmechanikai szakvéleményben rögzített nyugalmi talajvízszintet</w:t>
      </w:r>
    </w:p>
    <w:p w:rsidR="00525AA5" w:rsidRPr="009A787B" w:rsidRDefault="00525AA5" w:rsidP="009A787B">
      <w:pPr>
        <w:tabs>
          <w:tab w:val="left" w:pos="1134"/>
        </w:tabs>
        <w:spacing w:after="0" w:line="240" w:lineRule="auto"/>
        <w:ind w:left="360"/>
        <w:rPr>
          <w:rFonts w:ascii="Times New Roman" w:hAnsi="Times New Roman"/>
          <w:sz w:val="24"/>
          <w:szCs w:val="24"/>
        </w:rPr>
      </w:pPr>
    </w:p>
    <w:p w:rsidR="00525AA5" w:rsidRPr="009A787B" w:rsidRDefault="00525AA5" w:rsidP="0063261A">
      <w:pPr>
        <w:pStyle w:val="Listaszerbekezds"/>
        <w:tabs>
          <w:tab w:val="left" w:pos="1134"/>
        </w:tabs>
        <w:spacing w:after="0" w:line="240" w:lineRule="auto"/>
        <w:ind w:left="709"/>
        <w:jc w:val="both"/>
        <w:rPr>
          <w:rFonts w:ascii="Times New Roman" w:hAnsi="Times New Roman"/>
          <w:sz w:val="24"/>
          <w:szCs w:val="24"/>
        </w:rPr>
      </w:pPr>
      <w:r w:rsidRPr="009A787B">
        <w:rPr>
          <w:rFonts w:ascii="Times New Roman" w:hAnsi="Times New Roman"/>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A73393">
        <w:rPr>
          <w:rFonts w:ascii="Times New Roman" w:hAnsi="Times New Roman"/>
          <w:sz w:val="24"/>
          <w:szCs w:val="24"/>
        </w:rPr>
        <w:t>, és ha a meghosszabbítás megfelel a Kbt. 141. §-ában foglaltaknak</w:t>
      </w:r>
      <w:r w:rsidRPr="009A787B">
        <w:rPr>
          <w:rFonts w:ascii="Times New Roman" w:hAnsi="Times New Roman"/>
          <w:sz w:val="24"/>
          <w:szCs w:val="24"/>
        </w:rPr>
        <w:t>.</w:t>
      </w:r>
    </w:p>
    <w:p w:rsidR="00525AA5" w:rsidRPr="009A787B" w:rsidRDefault="00525AA5" w:rsidP="0063261A">
      <w:pPr>
        <w:pStyle w:val="Listaszerbekezds"/>
        <w:tabs>
          <w:tab w:val="left" w:pos="1134"/>
        </w:tabs>
        <w:spacing w:after="0" w:line="240" w:lineRule="auto"/>
        <w:ind w:left="709"/>
        <w:rPr>
          <w:rFonts w:ascii="Times New Roman" w:hAnsi="Times New Roman"/>
          <w:i/>
          <w:sz w:val="24"/>
          <w:szCs w:val="24"/>
        </w:rPr>
      </w:pPr>
    </w:p>
    <w:p w:rsidR="00525AA5" w:rsidRPr="00525AA5" w:rsidRDefault="00525AA5" w:rsidP="0063261A">
      <w:pPr>
        <w:pStyle w:val="Listaszerbekezds"/>
        <w:tabs>
          <w:tab w:val="left" w:pos="1134"/>
        </w:tabs>
        <w:spacing w:after="0" w:line="240" w:lineRule="auto"/>
        <w:ind w:left="709"/>
        <w:jc w:val="both"/>
        <w:rPr>
          <w:rFonts w:ascii="Times New Roman" w:hAnsi="Times New Roman"/>
          <w:sz w:val="24"/>
          <w:szCs w:val="24"/>
        </w:rPr>
      </w:pPr>
      <w:r w:rsidRPr="009A787B">
        <w:rPr>
          <w:rFonts w:ascii="Times New Roman" w:hAnsi="Times New Roman"/>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EA17AD" w:rsidRDefault="00EA17AD" w:rsidP="003B6148">
      <w:pPr>
        <w:spacing w:after="0" w:line="240" w:lineRule="auto"/>
        <w:ind w:left="360"/>
        <w:jc w:val="both"/>
        <w:rPr>
          <w:rFonts w:ascii="Times New Roman" w:eastAsia="Calibri" w:hAnsi="Times New Roman" w:cs="Times New Roman"/>
          <w:b/>
          <w:sz w:val="24"/>
          <w:szCs w:val="24"/>
          <w:u w:val="single"/>
        </w:rPr>
      </w:pP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D43A9F">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CF6EB0">
        <w:rPr>
          <w:rFonts w:ascii="Times New Roman" w:eastAsia="Calibri" w:hAnsi="Times New Roman" w:cs="Times New Roman"/>
          <w:snapToGrid w:val="0"/>
          <w:sz w:val="24"/>
          <w:szCs w:val="24"/>
        </w:rPr>
        <w:t>vagy az adott Szakaszra vonatkozó átadás-átvételi eljárás</w:t>
      </w:r>
      <w:r w:rsidR="00CF6EB0"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w:t>
      </w:r>
      <w:r w:rsidRPr="00F12F57">
        <w:rPr>
          <w:rFonts w:ascii="Times New Roman" w:eastAsia="Calibri" w:hAnsi="Times New Roman" w:cs="Times New Roman"/>
          <w:b/>
          <w:sz w:val="24"/>
          <w:szCs w:val="24"/>
        </w:rPr>
        <w:lastRenderedPageBreak/>
        <w:t>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6966BD">
        <w:rPr>
          <w:rFonts w:ascii="Times New Roman" w:eastAsia="Calibri" w:hAnsi="Times New Roman" w:cs="Times New Roman"/>
          <w:sz w:val="24"/>
          <w:szCs w:val="24"/>
        </w:rPr>
        <w:t xml:space="preserve">, </w:t>
      </w:r>
      <w:r w:rsidR="006966BD"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A73393">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 xml:space="preserve">. </w:t>
      </w:r>
      <w:r w:rsidR="00A73393"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05703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biztosítéknak </w:t>
      </w:r>
      <w:r w:rsidR="00A73393">
        <w:rPr>
          <w:rFonts w:ascii="Times New Roman" w:eastAsia="Calibri" w:hAnsi="Times New Roman" w:cs="Times New Roman"/>
          <w:snapToGrid w:val="0"/>
          <w:sz w:val="24"/>
          <w:szCs w:val="24"/>
        </w:rPr>
        <w:t>a teljesítési igazolás kiadásának</w:t>
      </w:r>
      <w:r w:rsidRPr="00692947">
        <w:rPr>
          <w:rFonts w:ascii="Times New Roman" w:eastAsia="Calibri" w:hAnsi="Times New Roman" w:cs="Times New Roman"/>
          <w:snapToGrid w:val="0"/>
          <w:sz w:val="24"/>
          <w:szCs w:val="24"/>
        </w:rPr>
        <w:t xml:space="preserve"> érvényben kell maradnia.</w:t>
      </w:r>
      <w:r w:rsidR="00A73393">
        <w:rPr>
          <w:rFonts w:ascii="Times New Roman" w:eastAsia="Calibri" w:hAnsi="Times New Roman" w:cs="Times New Roman"/>
          <w:snapToGrid w:val="0"/>
          <w:sz w:val="24"/>
          <w:szCs w:val="24"/>
        </w:rPr>
        <w:t xml:space="preserve"> A</w:t>
      </w:r>
      <w:r w:rsidR="00A73393"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A73393">
        <w:rPr>
          <w:rFonts w:ascii="Times New Roman" w:eastAsia="Calibri" w:hAnsi="Times New Roman" w:cs="Times New Roman"/>
          <w:snapToGrid w:val="0"/>
          <w:sz w:val="24"/>
          <w:szCs w:val="24"/>
        </w:rPr>
        <w:t>osan csökkenthető a teljesítési biztosíték értéke.</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r w:rsidR="00E37538" w:rsidRPr="00371B39">
        <w:rPr>
          <w:rFonts w:ascii="Times New Roman" w:eastAsia="Calibri" w:hAnsi="Times New Roman" w:cs="Times New Roman"/>
          <w:snapToGrid w:val="0"/>
          <w:sz w:val="24"/>
          <w:szCs w:val="24"/>
        </w:rPr>
        <w:t>alcikkely</w:t>
      </w:r>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 biztosíték mértéke a teljeskörű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A73393">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 xml:space="preserve">%-a.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jólteljesítési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teljeskörű jótállási időszakot követően a jólteljesítési biztosíték összege csökken a Szerződéses Ár értékének </w:t>
      </w:r>
      <w:r w:rsidR="006966BD">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jólteljesítési biztosítékot két részletben, de a (rész) műszaki átadás-átvételi eljárás lezárásakor egy időben bocsássa rendelkezésre külön-</w:t>
      </w:r>
      <w:r w:rsidR="00371B39" w:rsidRPr="00371B39">
        <w:rPr>
          <w:rFonts w:ascii="Times New Roman" w:eastAsia="Calibri" w:hAnsi="Times New Roman" w:cs="Times New Roman"/>
          <w:sz w:val="24"/>
          <w:szCs w:val="24"/>
        </w:rPr>
        <w:lastRenderedPageBreak/>
        <w:t xml:space="preserve">külön a Szerződéses Ár 4%-ára 24 hónapos időtartamra, illetve a Szerződéses Ár </w:t>
      </w:r>
      <w:r w:rsidR="006966BD">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jólteljesítési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egállapodás 4.</w:t>
      </w:r>
      <w:r w:rsidR="00011036">
        <w:rPr>
          <w:rFonts w:ascii="Times New Roman" w:eastAsia="Calibri" w:hAnsi="Times New Roman" w:cs="Times New Roman"/>
          <w:snapToGrid w:val="0"/>
          <w:sz w:val="24"/>
          <w:szCs w:val="24"/>
        </w:rPr>
        <w:t>3</w:t>
      </w:r>
      <w:r w:rsidR="006F5673" w:rsidRPr="00692947">
        <w:rPr>
          <w:rFonts w:ascii="Times New Roman" w:eastAsia="Calibri" w:hAnsi="Times New Roman" w:cs="Times New Roman"/>
          <w:snapToGrid w:val="0"/>
          <w:sz w:val="24"/>
          <w:szCs w:val="24"/>
        </w:rPr>
        <w:t>. pont szerinti részhatáridők tekintetében</w:t>
      </w:r>
      <w:r w:rsidRPr="00692947">
        <w:rPr>
          <w:rFonts w:ascii="Times New Roman" w:eastAsia="Calibri" w:hAnsi="Times New Roman" w:cs="Times New Roman"/>
          <w:snapToGrid w:val="0"/>
          <w:sz w:val="24"/>
          <w:szCs w:val="24"/>
        </w:rPr>
        <w:t xml:space="preserve">) a Vállalkozó minden késedelmes nap után a Szerződéses Ár értékének </w:t>
      </w:r>
      <w:r w:rsidR="00692947" w:rsidRPr="00692947">
        <w:rPr>
          <w:rFonts w:ascii="Times New Roman" w:eastAsia="Calibri" w:hAnsi="Times New Roman" w:cs="Times New Roman"/>
          <w:snapToGrid w:val="0"/>
          <w:sz w:val="24"/>
          <w:szCs w:val="24"/>
        </w:rPr>
        <w:t>0,5</w:t>
      </w:r>
      <w:r w:rsidRPr="00692947">
        <w:rPr>
          <w:rFonts w:ascii="Times New Roman" w:eastAsia="Calibri" w:hAnsi="Times New Roman" w:cs="Times New Roman"/>
          <w:snapToGrid w:val="0"/>
          <w:sz w:val="24"/>
          <w:szCs w:val="24"/>
        </w:rPr>
        <w:t xml:space="preserve">%-ának, de legfeljebb összesen a 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lastRenderedPageBreak/>
        <w:t xml:space="preserve">A meghiúsulási kötbér alapja </w:t>
      </w:r>
      <w:r w:rsidR="00A73393">
        <w:rPr>
          <w:rFonts w:ascii="Times New Roman" w:eastAsia="Calibri" w:hAnsi="Times New Roman" w:cs="Times New Roman"/>
          <w:snapToGrid w:val="0"/>
          <w:sz w:val="24"/>
          <w:szCs w:val="24"/>
        </w:rPr>
        <w:t>jelen Szerződés 3.1 pontjában meghatározott</w:t>
      </w:r>
      <w:r w:rsidR="00A73393" w:rsidRPr="00692947">
        <w:rPr>
          <w:rFonts w:ascii="Times New Roman" w:eastAsia="Calibri" w:hAnsi="Times New Roman" w:cs="Times New Roman"/>
          <w:snapToGrid w:val="0"/>
          <w:sz w:val="24"/>
          <w:szCs w:val="24"/>
        </w:rPr>
        <w:t xml:space="preserve"> </w:t>
      </w:r>
      <w:r w:rsidR="00A73393">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zerződéses ár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(rész)teljesítési határidőre vonatkozó akadályoztatást, késedelmet Vállalkozónak haladéktalanul jeleznie kell a Mérnök és a Megrendelő felé, illetve a késedelem elhárítása értekében minden tőle elvárható intézkedést haladéktalanul meg kell tennie. Amennyiben Vállalkozó értesítési kötelezettségének nem tesz eleget, az annak elmulasztásával 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Szerződés és a felek közötti kommunikáció nyelve a magyar. Amennyiben Vállalkozó szakembere magyar nyelvtudással nem bír, úgy szaktolmács biztosítása Vállalkozó kötelezettsége és költsége.</w:t>
      </w:r>
    </w:p>
    <w:p w:rsidR="003B6148" w:rsidRDefault="003B6148" w:rsidP="003B6148">
      <w:pPr>
        <w:spacing w:after="0" w:line="240" w:lineRule="auto"/>
        <w:ind w:left="720"/>
        <w:jc w:val="both"/>
        <w:rPr>
          <w:rFonts w:ascii="Times New Roman" w:eastAsia="Calibri" w:hAnsi="Times New Roman" w:cs="Times New Roman"/>
          <w:sz w:val="24"/>
          <w:szCs w:val="24"/>
        </w:rPr>
      </w:pPr>
    </w:p>
    <w:p w:rsidR="00F851D1" w:rsidRPr="000E3451"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Pr>
          <w:rFonts w:ascii="Times New Roman" w:eastAsia="Calibri" w:hAnsi="Times New Roman" w:cs="Times New Roman"/>
          <w:snapToGrid w:val="0"/>
          <w:sz w:val="24"/>
          <w:szCs w:val="24"/>
        </w:rPr>
        <w:t>S</w:t>
      </w:r>
      <w:r w:rsidRPr="000E3451">
        <w:rPr>
          <w:rFonts w:ascii="Times New Roman" w:eastAsia="Calibri" w:hAnsi="Times New Roman" w:cs="Times New Roman"/>
          <w:snapToGrid w:val="0"/>
          <w:sz w:val="24"/>
          <w:szCs w:val="24"/>
        </w:rPr>
        <w:t>zerződés módosításával nyílik lehetőség, mely folyamatok jelenlegi is zajlanak.</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p>
    <w:p w:rsidR="00F851D1" w:rsidRPr="0021214A"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A Kbt. 143. § (3) bekezdése értelmében a Megrendelő a szerződést felmondhatja, vagy - a Ptk.-ban foglaltak szerint - a szerződéstől elállhat, ha:</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 xml:space="preserve">138. §-ban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§-ban foglaltaknak; vagy</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851D1" w:rsidRPr="009F3842" w:rsidRDefault="00F851D1" w:rsidP="003B6148">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Kbt. </w:t>
      </w:r>
      <w:r w:rsidR="00921416">
        <w:rPr>
          <w:rFonts w:ascii="Times New Roman" w:eastAsia="Calibri" w:hAnsi="Times New Roman" w:cs="Times New Roman"/>
          <w:sz w:val="24"/>
          <w:szCs w:val="24"/>
        </w:rPr>
        <w:t>143. § (3</w:t>
      </w:r>
      <w:r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Pr="00F851D1">
        <w:rPr>
          <w:rFonts w:ascii="Times New Roman" w:eastAsia="Calibri" w:hAnsi="Times New Roman" w:cs="Times New Roman"/>
          <w:sz w:val="24"/>
          <w:szCs w:val="24"/>
        </w:rPr>
        <w:t>amely</w:t>
      </w:r>
      <w:r w:rsidRPr="009F3842">
        <w:rPr>
          <w:rFonts w:ascii="Times New Roman" w:eastAsia="Calibri" w:hAnsi="Times New Roman" w:cs="Times New Roman"/>
          <w:sz w:val="24"/>
          <w:szCs w:val="24"/>
        </w:rPr>
        <w:t xml:space="preserve">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851D1">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.2</w:t>
      </w:r>
      <w:r w:rsidR="003B6148" w:rsidRPr="009F3842">
        <w:rPr>
          <w:rFonts w:ascii="Times New Roman" w:hAnsi="Times New Roman"/>
        </w:rPr>
        <w:tab/>
        <w:t>Az Ajánlati Nyilatkozat és Függeléke</w:t>
      </w:r>
    </w:p>
    <w:p w:rsidR="003B6148"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.3</w:t>
      </w:r>
      <w:r w:rsidR="003B6148" w:rsidRPr="009F3842">
        <w:rPr>
          <w:rFonts w:ascii="Times New Roman" w:hAnsi="Times New Roman"/>
        </w:rPr>
        <w:tab/>
        <w:t>Kiegészítő tájékoztatás</w:t>
      </w:r>
    </w:p>
    <w:p w:rsidR="00A9111C" w:rsidRPr="009F3842" w:rsidRDefault="00F851D1" w:rsidP="00017619">
      <w:pPr>
        <w:pStyle w:val="Szvegtrzsbehzssal"/>
        <w:spacing w:after="0"/>
        <w:ind w:left="1418" w:hanging="709"/>
        <w:rPr>
          <w:rFonts w:ascii="Times New Roman" w:hAnsi="Times New Roman"/>
        </w:rPr>
      </w:pPr>
      <w:r>
        <w:rPr>
          <w:rFonts w:ascii="Times New Roman" w:hAnsi="Times New Roman"/>
        </w:rPr>
        <w:t>7.7</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rsidR="003B6148" w:rsidRPr="009F3842" w:rsidRDefault="00F851D1" w:rsidP="003B6148">
      <w:pPr>
        <w:pStyle w:val="Szvegtrzsbehzssal"/>
        <w:spacing w:after="0"/>
        <w:ind w:left="1414" w:hanging="705"/>
        <w:jc w:val="both"/>
        <w:rPr>
          <w:rFonts w:ascii="Times New Roman" w:hAnsi="Times New Roman"/>
          <w:i/>
        </w:rPr>
      </w:pPr>
      <w:r>
        <w:rPr>
          <w:rFonts w:ascii="Times New Roman" w:hAnsi="Times New Roman"/>
        </w:rPr>
        <w:t>7.7</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rsidR="003B6148" w:rsidRPr="009F3842" w:rsidRDefault="00F851D1" w:rsidP="003B6148">
      <w:pPr>
        <w:pStyle w:val="Szvegtrzsbehzssal"/>
        <w:spacing w:after="0"/>
        <w:ind w:left="1414"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7</w:t>
      </w:r>
      <w:r w:rsidR="003B6148" w:rsidRPr="009F3842">
        <w:rPr>
          <w:rFonts w:ascii="Times New Roman" w:hAnsi="Times New Roman"/>
        </w:rPr>
        <w:tab/>
      </w:r>
      <w:r w:rsidR="00AE7E79">
        <w:rPr>
          <w:rFonts w:ascii="Times New Roman" w:hAnsi="Times New Roman"/>
        </w:rPr>
        <w:t>Megrendelő követelményei</w:t>
      </w:r>
    </w:p>
    <w:p w:rsidR="00AE7E79" w:rsidRDefault="00F851D1" w:rsidP="00AE7E79">
      <w:pPr>
        <w:pStyle w:val="Szvegtrzsbehzssal"/>
        <w:spacing w:after="0"/>
        <w:ind w:left="1418" w:hanging="709"/>
        <w:jc w:val="both"/>
        <w:rPr>
          <w:rFonts w:ascii="Times New Roman" w:hAnsi="Times New Roman"/>
        </w:rPr>
      </w:pPr>
      <w:r>
        <w:rPr>
          <w:rFonts w:ascii="Times New Roman" w:hAnsi="Times New Roman"/>
        </w:rPr>
        <w:t>7.7</w:t>
      </w:r>
      <w:r w:rsidR="00AE7E79" w:rsidRPr="009F3842">
        <w:rPr>
          <w:rFonts w:ascii="Times New Roman" w:hAnsi="Times New Roman"/>
        </w:rPr>
        <w:t>.</w:t>
      </w:r>
      <w:r w:rsidR="00AE7E79">
        <w:rPr>
          <w:rFonts w:ascii="Times New Roman" w:hAnsi="Times New Roman"/>
        </w:rPr>
        <w:t>8</w:t>
      </w:r>
      <w:r w:rsidR="00AE7E79" w:rsidRPr="009F3842">
        <w:rPr>
          <w:rFonts w:ascii="Times New Roman" w:hAnsi="Times New Roman"/>
        </w:rPr>
        <w:tab/>
      </w:r>
      <w:r w:rsidR="00AE7E79">
        <w:rPr>
          <w:rFonts w:ascii="Times New Roman" w:hAnsi="Times New Roman"/>
        </w:rPr>
        <w:t xml:space="preserve">Vállalkozó közbeszerzési eljárás során benyújtott szakmai ajánlata, melynek az alábbi dokumentumok képezik részét: </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AE7E79" w:rsidRDefault="00AE7E79" w:rsidP="00AE7E79">
      <w:pPr>
        <w:pStyle w:val="Szvegtrzsbehzssal"/>
        <w:numPr>
          <w:ilvl w:val="0"/>
          <w:numId w:val="48"/>
        </w:numPr>
        <w:spacing w:after="0"/>
        <w:ind w:left="2835" w:hanging="992"/>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lastRenderedPageBreak/>
        <w:t>Felolvasólap</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a Vállalkozó értékelési szempontokra vonatkozóan benyújtott szakmai ajánlata; </w:t>
      </w:r>
    </w:p>
    <w:p w:rsidR="003B6148" w:rsidRPr="009F3842" w:rsidRDefault="00F851D1"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.4. és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r w:rsidR="004C5DF9" w:rsidRPr="004C5DF9">
        <w:rPr>
          <w:rFonts w:ascii="Times New Roman" w:hAnsi="Times New Roman"/>
          <w:sz w:val="24"/>
          <w:szCs w:val="24"/>
          <w:highlight w:val="yellow"/>
        </w:rPr>
        <w:t>TED …………………</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CF6EB0">
        <w:rPr>
          <w:rFonts w:ascii="Times New Roman" w:hAnsi="Times New Roman"/>
          <w:sz w:val="24"/>
          <w:szCs w:val="24"/>
        </w:rPr>
        <w:t xml:space="preserve">, illetve az V. kötetnek szintén részét képező </w:t>
      </w:r>
      <w:r w:rsidR="00CF6EB0" w:rsidRPr="00E72321">
        <w:rPr>
          <w:rFonts w:ascii="Times New Roman" w:hAnsi="Times New Roman"/>
          <w:sz w:val="24"/>
          <w:szCs w:val="24"/>
        </w:rPr>
        <w:t>meglévő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851D1">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CF6EB0"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F851D1" w:rsidRDefault="004C5DF9"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7.7.</w:t>
      </w:r>
      <w:r w:rsidRPr="009F3842">
        <w:rPr>
          <w:rFonts w:ascii="Times New Roman" w:eastAsia="Calibri" w:hAnsi="Times New Roman" w:cs="Times New Roman"/>
          <w:sz w:val="24"/>
          <w:szCs w:val="24"/>
        </w:rPr>
        <w:tab/>
      </w:r>
      <w:r w:rsidRPr="00F851D1">
        <w:rPr>
          <w:rFonts w:ascii="Times New Roman" w:eastAsia="Calibri" w:hAnsi="Times New Roman" w:cs="Times New Roman"/>
          <w:sz w:val="24"/>
          <w:szCs w:val="24"/>
        </w:rPr>
        <w:t xml:space="preserve">Felek tudomásul veszik, hogy a Szerződés bármely módosítását a magyar jogszabályok és kiemelten a Kbt. – különösen annak </w:t>
      </w:r>
      <w:r w:rsidR="00921416" w:rsidRPr="00F851D1">
        <w:rPr>
          <w:rFonts w:ascii="Times New Roman" w:eastAsia="Calibri" w:hAnsi="Times New Roman" w:cs="Times New Roman"/>
          <w:sz w:val="24"/>
          <w:szCs w:val="24"/>
        </w:rPr>
        <w:t>141</w:t>
      </w:r>
      <w:r w:rsidRPr="00F851D1">
        <w:rPr>
          <w:rFonts w:ascii="Times New Roman" w:eastAsia="Calibri" w:hAnsi="Times New Roman" w:cs="Times New Roman"/>
          <w:sz w:val="24"/>
          <w:szCs w:val="24"/>
        </w:rPr>
        <w:t>. §-a - rendelkezéseivel összhangban, kizárólag írásban, a Szerződéssel azonos módon lehet megkötni.</w:t>
      </w:r>
    </w:p>
    <w:p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rsidR="00921416" w:rsidRPr="00D43A9F" w:rsidRDefault="00D43A9F"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rsidR="0071520A"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sidRPr="00F851D1">
        <w:rPr>
          <w:rFonts w:ascii="Times New Roman" w:eastAsia="Calibri" w:hAnsi="Times New Roman" w:cs="Times New Roman"/>
          <w:sz w:val="24"/>
          <w:szCs w:val="24"/>
        </w:rPr>
        <w:t>ra vonatkozó jogszabályokat is.</w:t>
      </w:r>
    </w:p>
    <w:p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w:t>
      </w:r>
      <w:r w:rsidRPr="00F851D1">
        <w:rPr>
          <w:rFonts w:ascii="Times New Roman" w:eastAsia="Calibri" w:hAnsi="Times New Roman" w:cs="Times New Roman"/>
          <w:sz w:val="24"/>
          <w:szCs w:val="24"/>
        </w:rPr>
        <w:lastRenderedPageBreak/>
        <w:t>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F32B6D"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F32B6D"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Jelen szerződésben nem szabályozott kérdésekben, a szerződéses kötelezettség-vállalások teljesítése során, valamint a felek között felmerülő jogvitákra a Magyar</w:t>
      </w:r>
      <w:r w:rsidR="00017619" w:rsidRPr="00F851D1">
        <w:rPr>
          <w:rFonts w:ascii="Times New Roman" w:eastAsia="Calibri" w:hAnsi="Times New Roman" w:cs="Times New Roman"/>
          <w:sz w:val="24"/>
          <w:szCs w:val="24"/>
        </w:rPr>
        <w:t>ország</w:t>
      </w:r>
      <w:r w:rsidRPr="00F851D1">
        <w:rPr>
          <w:rFonts w:ascii="Times New Roman" w:eastAsia="Calibri" w:hAnsi="Times New Roman" w:cs="Times New Roman"/>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ezen szerződésben.</w:t>
      </w:r>
    </w:p>
    <w:p w:rsidR="00656D73" w:rsidRPr="00F851D1" w:rsidRDefault="00656D73"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656D73"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Vállalkozó jelen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 xml:space="preserve">egállapodás aláírásával kifejezetten nyilatkozza, hogy a jelen szerződést, annak valamennyi rendelkezését (így különösen a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egállapodás, a Különös Feltételek és az Általános Feltételek) teljeskörűen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F851D1" w:rsidRDefault="00692947"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tudomásul veszi, hogy az államháztartásról szóló 2011. évi CXCV. törvény (Áht.) 41. § (6) bekezdése értelmében az államháztartás központi alrendszerében a kiadási el</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irányzatok terhére nem köthet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olyan jogi személlyel,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szervezettel érvényesen visszterhes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illetve létrejött ilyen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alapján nem teljesíthet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kifizetés, amely szervezet nem min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sül átlátható szervezetnek. A Megrendelő ezen feltétel ellen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rzése céljából, a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désb</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l ered</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követelések elévüléséig az Áht. 55. § szerint jogosult a jogi személy,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 átláthatóságával összefügg</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w:t>
      </w:r>
      <w:r w:rsidRPr="00F851D1">
        <w:rPr>
          <w:rFonts w:ascii="Times New Roman" w:eastAsia="Calibri" w:hAnsi="Times New Roman" w:cs="Times New Roman"/>
          <w:sz w:val="24"/>
          <w:szCs w:val="24"/>
        </w:rPr>
        <w:lastRenderedPageBreak/>
        <w:t>átlátható szervezetnek, az államháztartásról szóló 2011. évi CXCV. tv. 41. § (6) bekezdése értelmében részére kifizetés nem teljesíthető.</w:t>
      </w:r>
    </w:p>
    <w:p w:rsidR="007E6DAC" w:rsidRPr="00F851D1"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Közreműködő Szervezet,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9F3842"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Fentiek bizonyságául a szerződő Felek ezennel aláírják jelen Szerződéses Megállapodást.</w:t>
      </w:r>
    </w:p>
    <w:p w:rsidR="00921416" w:rsidRPr="009F3842" w:rsidRDefault="00921416"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Jelen szerződést Felek </w:t>
      </w:r>
      <w:r w:rsidR="00DB1CB0" w:rsidRPr="00DB1CB0">
        <w:rPr>
          <w:rFonts w:ascii="Times New Roman" w:eastAsia="Calibri" w:hAnsi="Times New Roman" w:cs="Times New Roman"/>
          <w:sz w:val="24"/>
          <w:szCs w:val="24"/>
        </w:rPr>
        <w:t>12</w:t>
      </w:r>
      <w:r w:rsidRPr="00DB1CB0">
        <w:rPr>
          <w:rFonts w:ascii="Times New Roman" w:eastAsia="Calibri" w:hAnsi="Times New Roman" w:cs="Times New Roman"/>
          <w:sz w:val="24"/>
          <w:szCs w:val="24"/>
        </w:rPr>
        <w:t xml:space="preserve"> (</w:t>
      </w:r>
      <w:r w:rsidR="00DB1CB0" w:rsidRPr="00DB1CB0">
        <w:rPr>
          <w:rFonts w:ascii="Times New Roman" w:eastAsia="Calibri" w:hAnsi="Times New Roman" w:cs="Times New Roman"/>
          <w:sz w:val="24"/>
          <w:szCs w:val="24"/>
        </w:rPr>
        <w:t>tizenkettő</w:t>
      </w:r>
      <w:r w:rsidRPr="00DB1CB0">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Teljes körűen felhatalmazva és eljárva a ..............................................................................................................................................nevében.</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rsidR="00656D73" w:rsidRPr="00656D73" w:rsidRDefault="00656D73" w:rsidP="006959E0">
            <w:pPr>
              <w:jc w:val="both"/>
              <w:rPr>
                <w:rFonts w:ascii="Times New Roman" w:hAnsi="Times New Roman" w:cs="Times New Roman"/>
                <w:sz w:val="24"/>
                <w:szCs w:val="24"/>
              </w:rPr>
            </w:pPr>
          </w:p>
        </w:tc>
      </w:tr>
    </w:tbl>
    <w:p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lastRenderedPageBreak/>
        <w:br w:type="page"/>
      </w:r>
    </w:p>
    <w:p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rsidR="00F51C50" w:rsidRPr="009F3842" w:rsidRDefault="00602AE1"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ÉS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ELLENŐRZÉSEK ÉS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ÉS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A „Szerződés” magában foglalja a Szerződéses Megállapodást, az Ajánlati Nyilatkozatot, FIDIC Általános és jelen Külön</w:t>
      </w:r>
      <w:r w:rsidR="00C5522F">
        <w:rPr>
          <w:rFonts w:ascii="Times New Roman" w:eastAsia="Calibri" w:hAnsi="Times New Roman" w:cs="Times New Roman"/>
          <w:sz w:val="24"/>
          <w:szCs w:val="24"/>
        </w:rPr>
        <w:t>ös</w:t>
      </w:r>
      <w:r w:rsidRPr="0088087B">
        <w:rPr>
          <w:rFonts w:ascii="Times New Roman" w:eastAsia="Calibri" w:hAnsi="Times New Roman" w:cs="Times New Roman"/>
          <w:sz w:val="24"/>
          <w:szCs w:val="24"/>
        </w:rPr>
        <w:t xml:space="preserve">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 xml:space="preserve"> dátuma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r w:rsidR="00AD0321" w:rsidRPr="00CD3E02">
        <w:rPr>
          <w:rFonts w:ascii="Times New Roman" w:eastAsia="Calibri" w:hAnsi="Times New Roman" w:cs="Times New Roman"/>
          <w:sz w:val="24"/>
          <w:szCs w:val="24"/>
        </w:rPr>
        <w:t xml:space="preserve">Alcikkelyben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CF6EB0" w:rsidRPr="001E0B42">
        <w:rPr>
          <w:rFonts w:ascii="Times New Roman" w:eastAsia="Calibri" w:hAnsi="Times New Roman" w:cs="Times New Roman"/>
          <w:sz w:val="24"/>
          <w:szCs w:val="24"/>
        </w:rPr>
        <w:t>a Megrendelő által III. kötet megjelöléssel kiadott Megrendelő Követelményei című dokumentum</w:t>
      </w:r>
      <w:r w:rsidR="00CF6EB0">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(megvalósulás időtartama): a szerződés</w:t>
      </w:r>
      <w:r w:rsidR="00CD3E02">
        <w:rPr>
          <w:rFonts w:ascii="Times New Roman" w:eastAsia="Times New Roman" w:hAnsi="Times New Roman" w:cs="Times New Roman"/>
          <w:sz w:val="24"/>
          <w:szCs w:val="24"/>
        </w:rPr>
        <w:t xml:space="preserve"> hatályba lépésétől </w:t>
      </w:r>
      <w:r w:rsidRPr="009F3842">
        <w:rPr>
          <w:rFonts w:ascii="Times New Roman" w:eastAsia="Times New Roman" w:hAnsi="Times New Roman" w:cs="Times New Roman"/>
          <w:sz w:val="24"/>
          <w:szCs w:val="24"/>
        </w:rPr>
        <w:t xml:space="preserve"> a műszaki átadás-átvételi eljárás megkezdéséig tart, </w:t>
      </w:r>
      <w:r w:rsidR="00CF6EB0">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lastRenderedPageBreak/>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Alcikkelyben felsorolt körülmények </w:t>
      </w:r>
      <w:r w:rsidR="00FF5B77">
        <w:rPr>
          <w:rFonts w:ascii="Times New Roman" w:eastAsia="Calibri" w:hAnsi="Times New Roman" w:cs="Times New Roman"/>
          <w:sz w:val="24"/>
          <w:szCs w:val="24"/>
        </w:rPr>
        <w:t>minősülnek</w:t>
      </w:r>
      <w:r w:rsidRPr="00CE75AB">
        <w:rPr>
          <w:rFonts w:ascii="Times New Roman" w:eastAsia="Calibri" w:hAnsi="Times New Roman" w:cs="Times New Roman"/>
          <w:sz w:val="24"/>
          <w:szCs w:val="24"/>
        </w:rPr>
        <w:t>„</w:t>
      </w:r>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„előre nem látható” alatt értendők minden olyan esemény, melynek bekövetkezése megfelel a közbeszerzésekről szóló 2015. évi CXLIII. törvény, 141. § (4) bekezdésének c) pontjának ca)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és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egállapodás 7.6.9.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CF6EB0" w:rsidRDefault="00CF6EB0" w:rsidP="00CF6EB0">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AE7E79" w:rsidRDefault="00AE7E79" w:rsidP="00CF6EB0">
      <w:pPr>
        <w:tabs>
          <w:tab w:val="left" w:pos="993"/>
        </w:tabs>
        <w:spacing w:after="0" w:line="240" w:lineRule="auto"/>
        <w:ind w:left="993" w:hanging="993"/>
        <w:jc w:val="both"/>
        <w:rPr>
          <w:rFonts w:ascii="Times New Roman" w:eastAsia="Times New Roman" w:hAnsi="Times New Roman" w:cs="Times New Roman"/>
          <w:sz w:val="24"/>
          <w:szCs w:val="24"/>
        </w:rPr>
      </w:pPr>
    </w:p>
    <w:p w:rsidR="00AE7E79" w:rsidRPr="00CE75AB" w:rsidRDefault="00AE7E79" w:rsidP="00AE7E79">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Alcikkely szerint a Vállalkozó Dokumentumait jóváhagyta, </w:t>
      </w:r>
      <w:r w:rsidR="00C5522F" w:rsidRPr="00C5522F">
        <w:rPr>
          <w:rFonts w:ascii="Times New Roman" w:eastAsia="Times New Roman" w:hAnsi="Times New Roman" w:cs="Times New Roman"/>
          <w:sz w:val="24"/>
          <w:szCs w:val="24"/>
        </w:rPr>
        <w:t>kiadja az engedélyt Vállalkozónak a kivitelezés megkezdésére</w:t>
      </w:r>
      <w:r>
        <w:rPr>
          <w:rFonts w:ascii="Times New Roman" w:eastAsia="Times New Roman" w:hAnsi="Times New Roman" w:cs="Times New Roman"/>
          <w:sz w:val="24"/>
          <w:szCs w:val="24"/>
        </w:rPr>
        <w:t xml:space="preserve">. </w:t>
      </w:r>
    </w:p>
    <w:p w:rsidR="00AE7E79" w:rsidRPr="00CE75AB" w:rsidRDefault="00AE7E79" w:rsidP="00CF6EB0">
      <w:pPr>
        <w:tabs>
          <w:tab w:val="left" w:pos="993"/>
        </w:tabs>
        <w:spacing w:after="0" w:line="240" w:lineRule="auto"/>
        <w:ind w:left="993" w:hanging="993"/>
        <w:jc w:val="both"/>
        <w:rPr>
          <w:rFonts w:ascii="Times New Roman" w:eastAsia="Calibri" w:hAnsi="Times New Roman" w:cs="Times New Roman"/>
          <w:sz w:val="24"/>
          <w:szCs w:val="24"/>
        </w:rPr>
      </w:pPr>
    </w:p>
    <w:p w:rsidR="00CF6EB0" w:rsidRPr="009F3842" w:rsidRDefault="00CF6EB0"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lastRenderedPageBreak/>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a Szerződéses Megállapodás 7.6.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Egy ilyen tartalmú …</w:t>
      </w:r>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F11996" w:rsidRPr="00A356EE" w:rsidRDefault="00F11996" w:rsidP="00F11996">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szerinti jogosulti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egállapodás 7.6.9.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alcikkely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AE7E79" w:rsidRPr="00EE0707">
        <w:rPr>
          <w:rFonts w:ascii="Times New Roman" w:hAnsi="Times New Roman"/>
          <w:bCs/>
          <w:iCs/>
          <w:sz w:val="24"/>
          <w:szCs w:val="24"/>
        </w:rPr>
        <w:t>Vállalkozónak ezt a nyilatkozatot a szerződés hatálybalépését követő 28 napon belül kell leadni, vagy jeleznie kell a tapasztalt hibákat az Ajánlati Nyilatkozat Függelékében foglaltak szerint. Ha Vállalkozó 28 napon túl fedez fel hibát, akkor azt kell igazolnia, hogy még a 28 napos időtartamban sem fedezhette azt fel.</w:t>
      </w:r>
      <w:r w:rsidR="00AE7E79">
        <w:rPr>
          <w:rFonts w:ascii="Times New Roman" w:hAnsi="Times New Roman"/>
          <w:bCs/>
          <w:iCs/>
          <w:sz w:val="24"/>
          <w:szCs w:val="24"/>
        </w:rPr>
        <w:t xml:space="preserve"> </w:t>
      </w:r>
      <w:r w:rsidR="00C5522F" w:rsidRPr="00401C1C">
        <w:rPr>
          <w:rFonts w:ascii="Times New Roman" w:hAnsi="Times New Roman"/>
          <w:bCs/>
          <w:iCs/>
          <w:sz w:val="24"/>
          <w:szCs w:val="24"/>
        </w:rPr>
        <w:t>A felmérés alapján bekövetkező rekonstrukciós terv</w:t>
      </w:r>
      <w:r w:rsidR="00C5522F">
        <w:rPr>
          <w:rFonts w:ascii="Times New Roman" w:hAnsi="Times New Roman"/>
          <w:bCs/>
          <w:iCs/>
          <w:sz w:val="24"/>
          <w:szCs w:val="24"/>
        </w:rPr>
        <w:t xml:space="preserve"> </w:t>
      </w:r>
      <w:r w:rsidR="00C5522F" w:rsidRPr="00401C1C">
        <w:rPr>
          <w:rFonts w:ascii="Times New Roman" w:hAnsi="Times New Roman"/>
          <w:bCs/>
          <w:iCs/>
          <w:sz w:val="24"/>
          <w:szCs w:val="24"/>
        </w:rPr>
        <w:t xml:space="preserve">változás </w:t>
      </w:r>
      <w:r w:rsidR="00C5522F">
        <w:rPr>
          <w:rFonts w:ascii="Times New Roman" w:hAnsi="Times New Roman"/>
          <w:bCs/>
          <w:iCs/>
          <w:sz w:val="24"/>
          <w:szCs w:val="24"/>
        </w:rPr>
        <w:t xml:space="preserve">- </w:t>
      </w:r>
      <w:r w:rsidR="00C5522F" w:rsidRPr="00401C1C">
        <w:rPr>
          <w:rFonts w:ascii="Times New Roman" w:hAnsi="Times New Roman"/>
          <w:bCs/>
          <w:iCs/>
          <w:sz w:val="24"/>
          <w:szCs w:val="24"/>
        </w:rPr>
        <w:t xml:space="preserve">amennyiben </w:t>
      </w:r>
      <w:r w:rsidR="00C5522F">
        <w:rPr>
          <w:rFonts w:ascii="Times New Roman" w:hAnsi="Times New Roman"/>
          <w:bCs/>
          <w:iCs/>
          <w:sz w:val="24"/>
          <w:szCs w:val="24"/>
        </w:rPr>
        <w:t xml:space="preserve">a Szerződéses Árra gyakorolt hatása meghaladja a Szerződéses Ár </w:t>
      </w:r>
      <w:r w:rsidR="00C5522F" w:rsidRPr="00401C1C">
        <w:rPr>
          <w:rFonts w:ascii="Times New Roman" w:hAnsi="Times New Roman"/>
          <w:bCs/>
          <w:iCs/>
          <w:sz w:val="24"/>
          <w:szCs w:val="24"/>
        </w:rPr>
        <w:t>5%-</w:t>
      </w:r>
      <w:r w:rsidR="00C5522F">
        <w:rPr>
          <w:rFonts w:ascii="Times New Roman" w:hAnsi="Times New Roman"/>
          <w:bCs/>
          <w:iCs/>
          <w:sz w:val="24"/>
          <w:szCs w:val="24"/>
        </w:rPr>
        <w:t>á</w:t>
      </w:r>
      <w:r w:rsidR="00C5522F" w:rsidRPr="00401C1C">
        <w:rPr>
          <w:rFonts w:ascii="Times New Roman" w:hAnsi="Times New Roman"/>
          <w:bCs/>
          <w:iCs/>
          <w:sz w:val="24"/>
          <w:szCs w:val="24"/>
        </w:rPr>
        <w:t xml:space="preserve">t - </w:t>
      </w:r>
      <w:r w:rsidR="00C5522F">
        <w:rPr>
          <w:rFonts w:ascii="Times New Roman" w:hAnsi="Times New Roman"/>
          <w:bCs/>
          <w:iCs/>
          <w:sz w:val="24"/>
          <w:szCs w:val="24"/>
        </w:rPr>
        <w:t>V</w:t>
      </w:r>
      <w:r w:rsidR="00C5522F" w:rsidRPr="00401C1C">
        <w:rPr>
          <w:rFonts w:ascii="Times New Roman" w:hAnsi="Times New Roman"/>
          <w:bCs/>
          <w:iCs/>
          <w:sz w:val="24"/>
          <w:szCs w:val="24"/>
        </w:rPr>
        <w:t>áltoztatási javaslatként kezelhető a Változtatási javaslat</w:t>
      </w:r>
      <w:r w:rsidR="00C5522F">
        <w:rPr>
          <w:rFonts w:ascii="Times New Roman" w:hAnsi="Times New Roman"/>
          <w:bCs/>
          <w:iCs/>
          <w:sz w:val="24"/>
          <w:szCs w:val="24"/>
        </w:rPr>
        <w:t>ra</w:t>
      </w:r>
      <w:r w:rsidR="00C5522F" w:rsidRPr="00401C1C">
        <w:rPr>
          <w:rFonts w:ascii="Times New Roman" w:hAnsi="Times New Roman"/>
          <w:bCs/>
          <w:iCs/>
          <w:sz w:val="24"/>
          <w:szCs w:val="24"/>
        </w:rPr>
        <w:t xml:space="preserve"> (FIDIC 13.2, 13.3) </w:t>
      </w:r>
      <w:r w:rsidR="00C5522F">
        <w:rPr>
          <w:rFonts w:ascii="Times New Roman" w:hAnsi="Times New Roman"/>
          <w:bCs/>
          <w:iCs/>
          <w:sz w:val="24"/>
          <w:szCs w:val="24"/>
        </w:rPr>
        <w:t>vonatkozó szabályok szerint</w:t>
      </w:r>
      <w:r w:rsidR="00C5522F" w:rsidRPr="00401C1C">
        <w:rPr>
          <w:rFonts w:ascii="Times New Roman" w:hAnsi="Times New Roman"/>
          <w:bCs/>
          <w:iCs/>
          <w:sz w:val="24"/>
          <w:szCs w:val="24"/>
        </w:rPr>
        <w:t>. A</w:t>
      </w:r>
      <w:r w:rsidR="00C5522F">
        <w:rPr>
          <w:rFonts w:ascii="Times New Roman" w:hAnsi="Times New Roman"/>
          <w:bCs/>
          <w:iCs/>
          <w:sz w:val="24"/>
          <w:szCs w:val="24"/>
        </w:rPr>
        <w:t xml:space="preserve">mennyiben a rekonstrukciós terv változás Szerződéses Árra gyakorolt hatása nem haladja meg a Szerződéses Ár </w:t>
      </w:r>
      <w:r w:rsidR="00C5522F" w:rsidRPr="00401C1C">
        <w:rPr>
          <w:rFonts w:ascii="Times New Roman" w:hAnsi="Times New Roman"/>
          <w:bCs/>
          <w:iCs/>
          <w:sz w:val="24"/>
          <w:szCs w:val="24"/>
        </w:rPr>
        <w:t>5 %-</w:t>
      </w:r>
      <w:r w:rsidR="00C5522F">
        <w:rPr>
          <w:rFonts w:ascii="Times New Roman" w:hAnsi="Times New Roman"/>
          <w:bCs/>
          <w:iCs/>
          <w:sz w:val="24"/>
          <w:szCs w:val="24"/>
        </w:rPr>
        <w:t xml:space="preserve">át, úgy a felmérést követően szükséges rekonstrukciós terv változás következményei a Vállalkozó kockázati körébe tartoznak, azok költségét a Vállalkozó köteles viselni, és ezzel kapcsolatban Vállalkozói követeléssel nem élhet. </w:t>
      </w: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az alcikkely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AE7E79" w:rsidRDefault="00AE7E79" w:rsidP="00AE7E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Alcikkely harmadik bekezdésének (b) pontja törlésre kerül. </w:t>
      </w:r>
    </w:p>
    <w:p w:rsidR="00AE7E79" w:rsidRPr="009F3842" w:rsidRDefault="00AE7E79"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CF6EB0" w:rsidP="00CA3BDD">
      <w:pPr>
        <w:numPr>
          <w:ilvl w:val="1"/>
          <w:numId w:val="1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5F1D"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Az alcikkelyben a Jótállási Időszak kitétel minden esetben a 11. alcikkely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CF6EB0"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egállapodás 7.6.9.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20.1 Alcikkelyben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w:t>
      </w:r>
      <w:r w:rsidRPr="00871E74">
        <w:rPr>
          <w:rFonts w:ascii="Times New Roman" w:eastAsia="Times New Roman" w:hAnsi="Times New Roman" w:cs="Times New Roman"/>
          <w:sz w:val="24"/>
          <w:szCs w:val="24"/>
        </w:rPr>
        <w:lastRenderedPageBreak/>
        <w:t>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w:t>
      </w:r>
      <w:r w:rsidR="00C5522F">
        <w:rPr>
          <w:rFonts w:ascii="Times New Roman" w:eastAsia="Times New Roman" w:hAnsi="Times New Roman" w:cs="Times New Roman"/>
          <w:sz w:val="24"/>
          <w:szCs w:val="24"/>
          <w:lang w:val="cs-CZ"/>
        </w:rPr>
        <w:t>ös</w:t>
      </w:r>
      <w:r w:rsidRPr="00B52EBF">
        <w:rPr>
          <w:rFonts w:ascii="Times New Roman" w:eastAsia="Times New Roman" w:hAnsi="Times New Roman" w:cs="Times New Roman"/>
          <w:sz w:val="24"/>
          <w:szCs w:val="24"/>
          <w:lang w:val="cs-CZ"/>
        </w:rPr>
        <w:t xml:space="preserve">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lastRenderedPageBreak/>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fémszennyezés mentesítés,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stb nem következtethető, továbbá a pontatlan közmű adatszolgáltatásból, illetve a nyilvántartásban nem szereplő közművek kiváltásából, ebből eredő változtatások, amelyek új-, vagy meglévő engedélyek módosításának beszerzését eredményezik.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minden vis maior esemény bekövetkezése után, annak közvetlen vagy közvetett hatásaiból (például: szennyezőanyag mentesítés,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Az Alcikkely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alcikkelyre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lastRenderedPageBreak/>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hamradik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397423" w:rsidRDefault="00CF6EB0" w:rsidP="0039742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A</w:t>
      </w:r>
      <w:r w:rsidRPr="00955FC7">
        <w:rPr>
          <w:rFonts w:ascii="Times New Roman" w:eastAsia="Calibri" w:hAnsi="Times New Roman" w:cs="Times New Roman"/>
          <w:sz w:val="24"/>
          <w:szCs w:val="24"/>
        </w:rPr>
        <w:t xml:space="preserve"> Kezdési Időpont a szerződés hatálybalépésének a Szerződéses Megállapodás 4.4. pontjában meghatározott időpontjával egyezik meg. </w:t>
      </w: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CF6EB0" w:rsidRPr="0031388B" w:rsidRDefault="00CF6EB0" w:rsidP="00CF6EB0">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Alcikkely kiegészítendő az alábbiakkal: </w:t>
      </w:r>
    </w:p>
    <w:p w:rsidR="00CF6EB0" w:rsidRDefault="00CF6EB0" w:rsidP="00CF6EB0">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CF6EB0" w:rsidRDefault="00CF6EB0"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Az Alcikkely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Hatóságok által okozott késedelemnek tekintendő: minden olyan jogszabályban rögzített eljárási időt 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Alcikkely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címhez tartozó valamennyi alcikkely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BA5F1D" w:rsidRPr="009F3842" w:rsidRDefault="008505F0" w:rsidP="00BA5F1D">
      <w:pPr>
        <w:spacing w:after="0" w:line="240" w:lineRule="auto"/>
        <w:jc w:val="both"/>
        <w:rPr>
          <w:rFonts w:ascii="Times New Roman" w:eastAsia="Calibri" w:hAnsi="Times New Roman" w:cs="Times New Roman"/>
          <w:sz w:val="24"/>
          <w:szCs w:val="24"/>
        </w:rPr>
      </w:pPr>
      <w:r w:rsidRPr="009F3842">
        <w:rPr>
          <w:rFonts w:ascii="Times New Roman" w:eastAsia="Times New Roman" w:hAnsi="Times New Roman" w:cs="Times New Roman"/>
          <w:sz w:val="24"/>
          <w:szCs w:val="24"/>
        </w:rPr>
        <w:t>és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8C2C79">
        <w:rPr>
          <w:rFonts w:ascii="Times New Roman" w:eastAsia="Times New Roman" w:hAnsi="Times New Roman" w:cs="Times New Roman"/>
          <w:sz w:val="24"/>
          <w:szCs w:val="24"/>
        </w:rPr>
        <w:t xml:space="preserve">Ha a Mérnök az átadás-átvételi eljárást </w:t>
      </w:r>
      <w:r w:rsidR="00982C0B" w:rsidRPr="008C2C79">
        <w:rPr>
          <w:rFonts w:ascii="Times New Roman" w:eastAsia="Times New Roman" w:hAnsi="Times New Roman" w:cs="Times New Roman"/>
          <w:sz w:val="24"/>
          <w:szCs w:val="24"/>
        </w:rPr>
        <w:t>a ké</w:t>
      </w:r>
      <w:r w:rsidR="00773E6F" w:rsidRPr="008C2C79">
        <w:rPr>
          <w:rFonts w:ascii="Times New Roman" w:eastAsia="Times New Roman" w:hAnsi="Times New Roman" w:cs="Times New Roman"/>
          <w:sz w:val="24"/>
          <w:szCs w:val="24"/>
        </w:rPr>
        <w:t>szre jelentésben szereplő határidőtől számított 15 napot</w:t>
      </w:r>
      <w:r w:rsidRPr="008C2C79">
        <w:rPr>
          <w:rFonts w:ascii="Times New Roman" w:eastAsia="Times New Roman" w:hAnsi="Times New Roman" w:cs="Times New Roman"/>
          <w:sz w:val="24"/>
          <w:szCs w:val="24"/>
        </w:rPr>
        <w:t xml:space="preserve"> követő tizenöt napon belül nem kezdi meg</w:t>
      </w:r>
      <w:r w:rsidR="00937AEE" w:rsidRPr="008C2C79">
        <w:rPr>
          <w:rFonts w:ascii="Times New Roman" w:eastAsia="Times New Roman" w:hAnsi="Times New Roman" w:cs="Times New Roman"/>
          <w:sz w:val="24"/>
          <w:szCs w:val="24"/>
        </w:rPr>
        <w:t>, vagy megkezdi, de</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 xml:space="preserve">a Vállalkozó érdekkörén kívül eső okból </w:t>
      </w:r>
      <w:r w:rsidR="00BD16C0" w:rsidRPr="008C2C79">
        <w:rPr>
          <w:rFonts w:ascii="Times New Roman" w:eastAsia="Times New Roman" w:hAnsi="Times New Roman" w:cs="Times New Roman"/>
          <w:sz w:val="24"/>
          <w:szCs w:val="24"/>
        </w:rPr>
        <w:t>3</w:t>
      </w:r>
      <w:r w:rsidR="00937AEE" w:rsidRPr="008C2C79">
        <w:rPr>
          <w:rFonts w:ascii="Times New Roman" w:eastAsia="Times New Roman" w:hAnsi="Times New Roman" w:cs="Times New Roman"/>
          <w:sz w:val="24"/>
          <w:szCs w:val="24"/>
        </w:rPr>
        <w:t xml:space="preserve">0 napon belül </w:t>
      </w:r>
      <w:r w:rsidRPr="008C2C79">
        <w:rPr>
          <w:rFonts w:ascii="Times New Roman" w:eastAsia="Times New Roman" w:hAnsi="Times New Roman" w:cs="Times New Roman"/>
          <w:sz w:val="24"/>
          <w:szCs w:val="24"/>
        </w:rPr>
        <w:t xml:space="preserve">nem fejezi be, </w:t>
      </w:r>
      <w:r w:rsidR="00937AEE" w:rsidRPr="008C2C79">
        <w:rPr>
          <w:rFonts w:ascii="Times New Roman" w:eastAsia="Times New Roman" w:hAnsi="Times New Roman" w:cs="Times New Roman"/>
          <w:sz w:val="24"/>
          <w:szCs w:val="24"/>
        </w:rPr>
        <w:t>úgy</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Vállalkozó</w:t>
      </w:r>
      <w:r w:rsidRPr="008C2C79">
        <w:rPr>
          <w:rFonts w:ascii="Times New Roman" w:eastAsia="Times New Roman" w:hAnsi="Times New Roman" w:cs="Times New Roman"/>
          <w:sz w:val="24"/>
          <w:szCs w:val="24"/>
        </w:rPr>
        <w:t xml:space="preserve"> kérésére a teljesítésigazolást </w:t>
      </w:r>
      <w:r w:rsidR="00937AEE" w:rsidRPr="008C2C79">
        <w:rPr>
          <w:rFonts w:ascii="Times New Roman" w:eastAsia="Times New Roman" w:hAnsi="Times New Roman" w:cs="Times New Roman"/>
          <w:sz w:val="24"/>
          <w:szCs w:val="24"/>
        </w:rPr>
        <w:t xml:space="preserve">a Mérnök és a Megrendelő </w:t>
      </w:r>
      <w:r w:rsidRPr="008C2C79">
        <w:rPr>
          <w:rFonts w:ascii="Times New Roman" w:eastAsia="Times New Roman" w:hAnsi="Times New Roman" w:cs="Times New Roman"/>
          <w:sz w:val="24"/>
          <w:szCs w:val="24"/>
        </w:rPr>
        <w:t>köteles kiadni.</w:t>
      </w:r>
      <w:r w:rsidR="00937AEE" w:rsidRPr="008C2C79">
        <w:rPr>
          <w:rFonts w:ascii="Times New Roman" w:eastAsia="Times New Roman" w:hAnsi="Times New Roman" w:cs="Times New Roman"/>
          <w:sz w:val="24"/>
          <w:szCs w:val="24"/>
        </w:rPr>
        <w:t xml:space="preserve"> Amennyiben az átadás-átvételi eljárás </w:t>
      </w:r>
      <w:r w:rsidR="00C944AE" w:rsidRPr="008C2C79">
        <w:rPr>
          <w:rFonts w:ascii="Times New Roman" w:eastAsia="Times New Roman" w:hAnsi="Times New Roman" w:cs="Times New Roman"/>
          <w:sz w:val="24"/>
          <w:szCs w:val="24"/>
        </w:rPr>
        <w:t>48</w:t>
      </w:r>
      <w:r w:rsidR="00937AEE" w:rsidRPr="008C2C79">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2739C3">
        <w:rPr>
          <w:rFonts w:ascii="Times New Roman" w:eastAsia="Times New Roman" w:hAnsi="Times New Roman" w:cs="Times New Roman"/>
          <w:sz w:val="24"/>
          <w:szCs w:val="24"/>
        </w:rPr>
        <w:t>Létesítményt</w:t>
      </w:r>
      <w:r w:rsidR="002739C3"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alcikkelyek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A műszaki átadás-átvételi eljáráson felmerült és az e-jegyzőkönyvbe vett hibák, hiányosságok kijavítását követően kiállított - a fővállalkozó kivitelezői teljesítéshez kapcsolódó - e-</w:t>
      </w:r>
      <w:r w:rsidRPr="00CF250D">
        <w:rPr>
          <w:rFonts w:ascii="Times New Roman" w:eastAsia="Times New Roman" w:hAnsi="Times New Roman" w:cs="Times New Roman"/>
          <w:sz w:val="24"/>
          <w:szCs w:val="24"/>
        </w:rPr>
        <w:lastRenderedPageBreak/>
        <w:t xml:space="preserv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-vállalkozói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A Ptk. 6:245. § (1) bekezdése értelmében, Megrendelő azonban köteles megtéríteni a Vállalkozónak a többletmunkával 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lastRenderedPageBreak/>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jelen FIDIC szerződéses rendelkezések alcikkelyei:</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 a jóváhagyásnak megfelelő mértékben, összegeben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w:t>
      </w:r>
      <w:r w:rsidR="002739C3">
        <w:rPr>
          <w:rFonts w:ascii="Times New Roman" w:eastAsia="Calibri" w:hAnsi="Times New Roman" w:cs="Times New Roman"/>
          <w:snapToGrid w:val="0"/>
          <w:sz w:val="24"/>
          <w:szCs w:val="24"/>
        </w:rPr>
        <w:t>A tartalékkeret felhasználásához szükséges a Támogató előzetes egyetértése</w:t>
      </w:r>
      <w:r w:rsidR="00AE7E79">
        <w:rPr>
          <w:rFonts w:ascii="Times New Roman" w:eastAsia="Calibri" w:hAnsi="Times New Roman" w:cs="Times New Roman"/>
          <w:snapToGrid w:val="0"/>
          <w:sz w:val="24"/>
          <w:szCs w:val="24"/>
        </w:rPr>
        <w:t>, és a vonatkozó útmutató szerinti szerződésmódosítás</w:t>
      </w:r>
      <w:r w:rsidR="002739C3">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2739C3">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2739C3">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2739C3">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az alcikkely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Az alcikkely b) pontjában szereplő utolsó mondatrész törlendő, onnantól, hogy: „kivéve a 13.7. Alcikkelyben (Jogszabályi módosulások miatti kiigazítások) foglat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alcikkely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az alcikkely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alcikkelyben szerplő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alcikkely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az alcikkely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Az alcikkely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20.1. Alcikkely</w:t>
      </w:r>
      <w:r w:rsidRPr="00106ED0">
        <w:rPr>
          <w:rFonts w:ascii="Times New Roman" w:eastAsia="Calibri" w:hAnsi="Times New Roman" w:cs="Times New Roman"/>
          <w:sz w:val="24"/>
          <w:szCs w:val="24"/>
        </w:rPr>
        <w:t>hez:</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w:t>
      </w:r>
      <w:r w:rsidRPr="009C4FA4">
        <w:rPr>
          <w:rFonts w:ascii="Times New Roman" w:eastAsia="Calibri" w:hAnsi="Times New Roman" w:cs="Times New Roman"/>
          <w:sz w:val="24"/>
          <w:szCs w:val="24"/>
        </w:rPr>
        <w:lastRenderedPageBreak/>
        <w:t>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F3" w:rsidRDefault="005410F3" w:rsidP="00BA5F1D">
      <w:pPr>
        <w:spacing w:after="0" w:line="240" w:lineRule="auto"/>
      </w:pPr>
      <w:r>
        <w:separator/>
      </w:r>
    </w:p>
  </w:endnote>
  <w:endnote w:type="continuationSeparator" w:id="0">
    <w:p w:rsidR="005410F3" w:rsidRDefault="005410F3" w:rsidP="00BA5F1D">
      <w:pPr>
        <w:spacing w:after="0" w:line="240" w:lineRule="auto"/>
      </w:pPr>
      <w:r>
        <w:continuationSeparator/>
      </w:r>
    </w:p>
  </w:endnote>
  <w:endnote w:type="continuationNotice" w:id="1">
    <w:p w:rsidR="005410F3" w:rsidRDefault="00541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5410F3" w:rsidRPr="00297048" w:rsidRDefault="005410F3">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602AE1">
          <w:rPr>
            <w:rFonts w:ascii="Times New Roman" w:hAnsi="Times New Roman"/>
            <w:noProof/>
            <w:sz w:val="22"/>
            <w:szCs w:val="22"/>
          </w:rPr>
          <w:t>2</w:t>
        </w:r>
        <w:r w:rsidRPr="00297048">
          <w:rPr>
            <w:rFonts w:ascii="Times New Roman" w:hAnsi="Times New Roman"/>
            <w:sz w:val="22"/>
            <w:szCs w:val="22"/>
          </w:rPr>
          <w:fldChar w:fldCharType="end"/>
        </w:r>
      </w:p>
    </w:sdtContent>
  </w:sdt>
  <w:p w:rsidR="005410F3" w:rsidRPr="00297048" w:rsidRDefault="005410F3"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5410F3" w:rsidRPr="00D31C11" w:rsidRDefault="005410F3">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5410F3" w:rsidRPr="00D31C11" w:rsidRDefault="005410F3"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F3" w:rsidRDefault="005410F3" w:rsidP="00BA5F1D">
      <w:pPr>
        <w:spacing w:after="0" w:line="240" w:lineRule="auto"/>
      </w:pPr>
      <w:r>
        <w:separator/>
      </w:r>
    </w:p>
  </w:footnote>
  <w:footnote w:type="continuationSeparator" w:id="0">
    <w:p w:rsidR="005410F3" w:rsidRDefault="005410F3" w:rsidP="00BA5F1D">
      <w:pPr>
        <w:spacing w:after="0" w:line="240" w:lineRule="auto"/>
      </w:pPr>
      <w:r>
        <w:continuationSeparator/>
      </w:r>
    </w:p>
  </w:footnote>
  <w:footnote w:type="continuationNotice" w:id="1">
    <w:p w:rsidR="005410F3" w:rsidRDefault="005410F3">
      <w:pPr>
        <w:spacing w:after="0" w:line="240" w:lineRule="auto"/>
      </w:pPr>
    </w:p>
  </w:footnote>
  <w:footnote w:id="2">
    <w:p w:rsidR="005410F3" w:rsidRDefault="005410F3"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5410F3" w:rsidRDefault="005410F3">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5410F3" w:rsidRDefault="005410F3">
      <w:pPr>
        <w:pStyle w:val="Lbjegyzetszveg"/>
      </w:pPr>
      <w:r>
        <w:rPr>
          <w:rStyle w:val="Lbjegyzet-hivatkozs"/>
        </w:rPr>
        <w:footnoteRef/>
      </w:r>
      <w:r>
        <w:t xml:space="preserve"> A kötelezett nevének és címének megadása szükséges</w:t>
      </w:r>
    </w:p>
  </w:footnote>
  <w:footnote w:id="5">
    <w:p w:rsidR="005410F3" w:rsidRPr="0010124E" w:rsidRDefault="005410F3" w:rsidP="00087685">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F3" w:rsidRDefault="005410F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1">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5">
    <w:nsid w:val="25C94B0E"/>
    <w:multiLevelType w:val="hybridMultilevel"/>
    <w:tmpl w:val="BD12EE86"/>
    <w:lvl w:ilvl="0" w:tplc="877E82F6">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6">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9">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1">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4">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8">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1">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3">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6">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9">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9"/>
  </w:num>
  <w:num w:numId="3">
    <w:abstractNumId w:val="0"/>
  </w:num>
  <w:num w:numId="4">
    <w:abstractNumId w:val="16"/>
  </w:num>
  <w:num w:numId="5">
    <w:abstractNumId w:val="11"/>
  </w:num>
  <w:num w:numId="6">
    <w:abstractNumId w:val="7"/>
  </w:num>
  <w:num w:numId="7">
    <w:abstractNumId w:val="32"/>
  </w:num>
  <w:num w:numId="8">
    <w:abstractNumId w:val="47"/>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17"/>
  </w:num>
  <w:num w:numId="17">
    <w:abstractNumId w:val="40"/>
  </w:num>
  <w:num w:numId="18">
    <w:abstractNumId w:val="33"/>
  </w:num>
  <w:num w:numId="19">
    <w:abstractNumId w:val="42"/>
  </w:num>
  <w:num w:numId="20">
    <w:abstractNumId w:val="25"/>
  </w:num>
  <w:num w:numId="21">
    <w:abstractNumId w:val="14"/>
  </w:num>
  <w:num w:numId="22">
    <w:abstractNumId w:val="6"/>
  </w:num>
  <w:num w:numId="23">
    <w:abstractNumId w:val="38"/>
  </w:num>
  <w:num w:numId="24">
    <w:abstractNumId w:val="37"/>
  </w:num>
  <w:num w:numId="25">
    <w:abstractNumId w:val="44"/>
  </w:num>
  <w:num w:numId="26">
    <w:abstractNumId w:val="22"/>
  </w:num>
  <w:num w:numId="27">
    <w:abstractNumId w:val="48"/>
  </w:num>
  <w:num w:numId="28">
    <w:abstractNumId w:val="4"/>
  </w:num>
  <w:num w:numId="29">
    <w:abstractNumId w:val="43"/>
  </w:num>
  <w:num w:numId="30">
    <w:abstractNumId w:val="8"/>
  </w:num>
  <w:num w:numId="31">
    <w:abstractNumId w:val="35"/>
  </w:num>
  <w:num w:numId="32">
    <w:abstractNumId w:val="10"/>
  </w:num>
  <w:num w:numId="33">
    <w:abstractNumId w:val="23"/>
  </w:num>
  <w:num w:numId="34">
    <w:abstractNumId w:val="26"/>
  </w:num>
  <w:num w:numId="35">
    <w:abstractNumId w:val="18"/>
  </w:num>
  <w:num w:numId="36">
    <w:abstractNumId w:val="46"/>
  </w:num>
  <w:num w:numId="37">
    <w:abstractNumId w:val="31"/>
  </w:num>
  <w:num w:numId="38">
    <w:abstractNumId w:val="3"/>
  </w:num>
  <w:num w:numId="39">
    <w:abstractNumId w:val="21"/>
  </w:num>
  <w:num w:numId="40">
    <w:abstractNumId w:val="19"/>
  </w:num>
  <w:num w:numId="41">
    <w:abstractNumId w:val="5"/>
  </w:num>
  <w:num w:numId="42">
    <w:abstractNumId w:val="24"/>
  </w:num>
  <w:num w:numId="43">
    <w:abstractNumId w:val="49"/>
  </w:num>
  <w:num w:numId="44">
    <w:abstractNumId w:val="41"/>
  </w:num>
  <w:num w:numId="45">
    <w:abstractNumId w:val="34"/>
  </w:num>
  <w:num w:numId="46">
    <w:abstractNumId w:val="12"/>
  </w:num>
  <w:num w:numId="47">
    <w:abstractNumId w:val="2"/>
  </w:num>
  <w:num w:numId="48">
    <w:abstractNumId w:val="15"/>
  </w:num>
  <w:num w:numId="49">
    <w:abstractNumId w:val="30"/>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1036"/>
    <w:rsid w:val="000135FD"/>
    <w:rsid w:val="00017619"/>
    <w:rsid w:val="0002002D"/>
    <w:rsid w:val="000276B0"/>
    <w:rsid w:val="00035013"/>
    <w:rsid w:val="0004208D"/>
    <w:rsid w:val="00057037"/>
    <w:rsid w:val="00067A98"/>
    <w:rsid w:val="0007185F"/>
    <w:rsid w:val="00071CF8"/>
    <w:rsid w:val="0007479B"/>
    <w:rsid w:val="00074AAB"/>
    <w:rsid w:val="00074DEE"/>
    <w:rsid w:val="00085534"/>
    <w:rsid w:val="00087685"/>
    <w:rsid w:val="00087FBF"/>
    <w:rsid w:val="0009130A"/>
    <w:rsid w:val="0009332C"/>
    <w:rsid w:val="00097E50"/>
    <w:rsid w:val="000A1954"/>
    <w:rsid w:val="000B1434"/>
    <w:rsid w:val="000B6EC8"/>
    <w:rsid w:val="000C5367"/>
    <w:rsid w:val="000D12F0"/>
    <w:rsid w:val="000D6730"/>
    <w:rsid w:val="000E5A52"/>
    <w:rsid w:val="000F30CC"/>
    <w:rsid w:val="00102A77"/>
    <w:rsid w:val="00106ED0"/>
    <w:rsid w:val="00110235"/>
    <w:rsid w:val="001106E7"/>
    <w:rsid w:val="00122BBB"/>
    <w:rsid w:val="00123952"/>
    <w:rsid w:val="00135AA0"/>
    <w:rsid w:val="001431DE"/>
    <w:rsid w:val="001512A3"/>
    <w:rsid w:val="001543BD"/>
    <w:rsid w:val="00154ADF"/>
    <w:rsid w:val="00165C34"/>
    <w:rsid w:val="00171013"/>
    <w:rsid w:val="00171250"/>
    <w:rsid w:val="00171588"/>
    <w:rsid w:val="001915EF"/>
    <w:rsid w:val="0019169D"/>
    <w:rsid w:val="001935E4"/>
    <w:rsid w:val="001A1F08"/>
    <w:rsid w:val="001B06B0"/>
    <w:rsid w:val="001C34F5"/>
    <w:rsid w:val="001C48D2"/>
    <w:rsid w:val="001D0B20"/>
    <w:rsid w:val="001D2884"/>
    <w:rsid w:val="001D40AD"/>
    <w:rsid w:val="001D78A6"/>
    <w:rsid w:val="001F4111"/>
    <w:rsid w:val="00204566"/>
    <w:rsid w:val="00215DAE"/>
    <w:rsid w:val="00222B50"/>
    <w:rsid w:val="002240DE"/>
    <w:rsid w:val="00226E7E"/>
    <w:rsid w:val="002337E6"/>
    <w:rsid w:val="002354D1"/>
    <w:rsid w:val="00244FEF"/>
    <w:rsid w:val="00255FFF"/>
    <w:rsid w:val="00257B49"/>
    <w:rsid w:val="00262D6B"/>
    <w:rsid w:val="002648A6"/>
    <w:rsid w:val="0026600B"/>
    <w:rsid w:val="00272F78"/>
    <w:rsid w:val="002739C3"/>
    <w:rsid w:val="00274E59"/>
    <w:rsid w:val="00280BEB"/>
    <w:rsid w:val="00283971"/>
    <w:rsid w:val="00285880"/>
    <w:rsid w:val="0028708D"/>
    <w:rsid w:val="002918A8"/>
    <w:rsid w:val="00293E18"/>
    <w:rsid w:val="00294378"/>
    <w:rsid w:val="00297048"/>
    <w:rsid w:val="002A0A1A"/>
    <w:rsid w:val="002A188E"/>
    <w:rsid w:val="002A4A83"/>
    <w:rsid w:val="002A71AA"/>
    <w:rsid w:val="002A72DF"/>
    <w:rsid w:val="002B5D0D"/>
    <w:rsid w:val="002B689C"/>
    <w:rsid w:val="002C3BD2"/>
    <w:rsid w:val="002D13F4"/>
    <w:rsid w:val="002E4C75"/>
    <w:rsid w:val="002E6837"/>
    <w:rsid w:val="002E73E7"/>
    <w:rsid w:val="00300A33"/>
    <w:rsid w:val="00307F92"/>
    <w:rsid w:val="00317ED0"/>
    <w:rsid w:val="00324F0D"/>
    <w:rsid w:val="00325DAE"/>
    <w:rsid w:val="003273A0"/>
    <w:rsid w:val="00331DE1"/>
    <w:rsid w:val="00340F3F"/>
    <w:rsid w:val="00352DD3"/>
    <w:rsid w:val="00360AF0"/>
    <w:rsid w:val="00360C3A"/>
    <w:rsid w:val="00371B39"/>
    <w:rsid w:val="00373410"/>
    <w:rsid w:val="00380E48"/>
    <w:rsid w:val="00385405"/>
    <w:rsid w:val="00385AD6"/>
    <w:rsid w:val="00387DC6"/>
    <w:rsid w:val="00395F7A"/>
    <w:rsid w:val="00397423"/>
    <w:rsid w:val="003A40B1"/>
    <w:rsid w:val="003A773F"/>
    <w:rsid w:val="003B27F6"/>
    <w:rsid w:val="003B40B6"/>
    <w:rsid w:val="003B6148"/>
    <w:rsid w:val="003C26A2"/>
    <w:rsid w:val="003C4695"/>
    <w:rsid w:val="003C5AAD"/>
    <w:rsid w:val="003D1351"/>
    <w:rsid w:val="003D6202"/>
    <w:rsid w:val="003E75EC"/>
    <w:rsid w:val="003F3C23"/>
    <w:rsid w:val="003F4894"/>
    <w:rsid w:val="0040031F"/>
    <w:rsid w:val="0040101D"/>
    <w:rsid w:val="00402464"/>
    <w:rsid w:val="00412FE6"/>
    <w:rsid w:val="00430E5E"/>
    <w:rsid w:val="00431815"/>
    <w:rsid w:val="00432684"/>
    <w:rsid w:val="004336E2"/>
    <w:rsid w:val="0045121E"/>
    <w:rsid w:val="00451311"/>
    <w:rsid w:val="00452E23"/>
    <w:rsid w:val="004537EC"/>
    <w:rsid w:val="00454243"/>
    <w:rsid w:val="00455FAD"/>
    <w:rsid w:val="00461574"/>
    <w:rsid w:val="00461BED"/>
    <w:rsid w:val="004626AF"/>
    <w:rsid w:val="00466F6B"/>
    <w:rsid w:val="00474E23"/>
    <w:rsid w:val="004803B1"/>
    <w:rsid w:val="0048040A"/>
    <w:rsid w:val="00485AB2"/>
    <w:rsid w:val="004A090D"/>
    <w:rsid w:val="004A0C7F"/>
    <w:rsid w:val="004A48FE"/>
    <w:rsid w:val="004C0F81"/>
    <w:rsid w:val="004C4A19"/>
    <w:rsid w:val="004C5226"/>
    <w:rsid w:val="004C5DF9"/>
    <w:rsid w:val="004D0E39"/>
    <w:rsid w:val="004E151C"/>
    <w:rsid w:val="004E41DA"/>
    <w:rsid w:val="004E4BDB"/>
    <w:rsid w:val="004F02C3"/>
    <w:rsid w:val="004F0D88"/>
    <w:rsid w:val="0050141F"/>
    <w:rsid w:val="0050667C"/>
    <w:rsid w:val="005212DE"/>
    <w:rsid w:val="00522749"/>
    <w:rsid w:val="00523646"/>
    <w:rsid w:val="00525AA5"/>
    <w:rsid w:val="00525C74"/>
    <w:rsid w:val="005321A8"/>
    <w:rsid w:val="005410F3"/>
    <w:rsid w:val="00562679"/>
    <w:rsid w:val="00564505"/>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489C"/>
    <w:rsid w:val="00600C12"/>
    <w:rsid w:val="00602AE1"/>
    <w:rsid w:val="006048A1"/>
    <w:rsid w:val="0060558A"/>
    <w:rsid w:val="0060666C"/>
    <w:rsid w:val="00607770"/>
    <w:rsid w:val="00607924"/>
    <w:rsid w:val="0061106C"/>
    <w:rsid w:val="00613B14"/>
    <w:rsid w:val="0061750E"/>
    <w:rsid w:val="00631753"/>
    <w:rsid w:val="006325C5"/>
    <w:rsid w:val="0063261A"/>
    <w:rsid w:val="006341C7"/>
    <w:rsid w:val="00634920"/>
    <w:rsid w:val="006402B1"/>
    <w:rsid w:val="006404C1"/>
    <w:rsid w:val="00646E22"/>
    <w:rsid w:val="00647E5C"/>
    <w:rsid w:val="006522CA"/>
    <w:rsid w:val="00652CA9"/>
    <w:rsid w:val="00656D73"/>
    <w:rsid w:val="00656E7B"/>
    <w:rsid w:val="006656A1"/>
    <w:rsid w:val="006660E7"/>
    <w:rsid w:val="006747C6"/>
    <w:rsid w:val="006808B0"/>
    <w:rsid w:val="00685AFA"/>
    <w:rsid w:val="006871BD"/>
    <w:rsid w:val="00692947"/>
    <w:rsid w:val="006959E0"/>
    <w:rsid w:val="006966BD"/>
    <w:rsid w:val="00696F4D"/>
    <w:rsid w:val="006C4277"/>
    <w:rsid w:val="006D4A62"/>
    <w:rsid w:val="006D4B36"/>
    <w:rsid w:val="006D4C63"/>
    <w:rsid w:val="006D4FB1"/>
    <w:rsid w:val="006D4FE2"/>
    <w:rsid w:val="006E2E95"/>
    <w:rsid w:val="006E2ED7"/>
    <w:rsid w:val="006F3464"/>
    <w:rsid w:val="006F5673"/>
    <w:rsid w:val="006F6FB9"/>
    <w:rsid w:val="007077B3"/>
    <w:rsid w:val="00710C46"/>
    <w:rsid w:val="00710E95"/>
    <w:rsid w:val="0071520A"/>
    <w:rsid w:val="00720BBF"/>
    <w:rsid w:val="00723D86"/>
    <w:rsid w:val="00727489"/>
    <w:rsid w:val="00730E00"/>
    <w:rsid w:val="00731D00"/>
    <w:rsid w:val="007436A0"/>
    <w:rsid w:val="007444E7"/>
    <w:rsid w:val="00757D9A"/>
    <w:rsid w:val="007631DD"/>
    <w:rsid w:val="00765D73"/>
    <w:rsid w:val="00765FE5"/>
    <w:rsid w:val="007731F0"/>
    <w:rsid w:val="00773E6F"/>
    <w:rsid w:val="0078402F"/>
    <w:rsid w:val="00791C49"/>
    <w:rsid w:val="00793F03"/>
    <w:rsid w:val="007A02C2"/>
    <w:rsid w:val="007A5EC3"/>
    <w:rsid w:val="007B5CB7"/>
    <w:rsid w:val="007C19FA"/>
    <w:rsid w:val="007C3DE8"/>
    <w:rsid w:val="007C5BD8"/>
    <w:rsid w:val="007D3DC2"/>
    <w:rsid w:val="007E2D05"/>
    <w:rsid w:val="007E2E82"/>
    <w:rsid w:val="007E55CC"/>
    <w:rsid w:val="007E6DAC"/>
    <w:rsid w:val="007F4C00"/>
    <w:rsid w:val="007F6A07"/>
    <w:rsid w:val="007F6CCE"/>
    <w:rsid w:val="00802189"/>
    <w:rsid w:val="008029BC"/>
    <w:rsid w:val="0080419B"/>
    <w:rsid w:val="00805555"/>
    <w:rsid w:val="008157EB"/>
    <w:rsid w:val="00816140"/>
    <w:rsid w:val="00820A16"/>
    <w:rsid w:val="00821B8D"/>
    <w:rsid w:val="008357C8"/>
    <w:rsid w:val="0084277C"/>
    <w:rsid w:val="00845057"/>
    <w:rsid w:val="008505F0"/>
    <w:rsid w:val="008538C0"/>
    <w:rsid w:val="00854C68"/>
    <w:rsid w:val="00863046"/>
    <w:rsid w:val="00870219"/>
    <w:rsid w:val="00871E74"/>
    <w:rsid w:val="00877A54"/>
    <w:rsid w:val="0088087B"/>
    <w:rsid w:val="00884D99"/>
    <w:rsid w:val="00884EC7"/>
    <w:rsid w:val="00891947"/>
    <w:rsid w:val="008977DB"/>
    <w:rsid w:val="008B0682"/>
    <w:rsid w:val="008B4533"/>
    <w:rsid w:val="008C1DF0"/>
    <w:rsid w:val="008C2C79"/>
    <w:rsid w:val="008D0B54"/>
    <w:rsid w:val="008D203D"/>
    <w:rsid w:val="008D24BA"/>
    <w:rsid w:val="008D42AB"/>
    <w:rsid w:val="008D7A33"/>
    <w:rsid w:val="008E1AC7"/>
    <w:rsid w:val="008E2EAB"/>
    <w:rsid w:val="008E63A1"/>
    <w:rsid w:val="008F0DC9"/>
    <w:rsid w:val="008F2567"/>
    <w:rsid w:val="008F3783"/>
    <w:rsid w:val="008F6AE2"/>
    <w:rsid w:val="0090378A"/>
    <w:rsid w:val="00906C0D"/>
    <w:rsid w:val="009078D6"/>
    <w:rsid w:val="0091295D"/>
    <w:rsid w:val="00913B3E"/>
    <w:rsid w:val="00916A9A"/>
    <w:rsid w:val="00917CD0"/>
    <w:rsid w:val="00921416"/>
    <w:rsid w:val="0092619B"/>
    <w:rsid w:val="00934039"/>
    <w:rsid w:val="00937158"/>
    <w:rsid w:val="00937AEE"/>
    <w:rsid w:val="00944A09"/>
    <w:rsid w:val="009524BC"/>
    <w:rsid w:val="009636B0"/>
    <w:rsid w:val="00965235"/>
    <w:rsid w:val="0096564F"/>
    <w:rsid w:val="0096768B"/>
    <w:rsid w:val="00973638"/>
    <w:rsid w:val="00973D79"/>
    <w:rsid w:val="00975B8D"/>
    <w:rsid w:val="00982C0B"/>
    <w:rsid w:val="00987654"/>
    <w:rsid w:val="009916E8"/>
    <w:rsid w:val="009A0729"/>
    <w:rsid w:val="009A0854"/>
    <w:rsid w:val="009A4C63"/>
    <w:rsid w:val="009A7169"/>
    <w:rsid w:val="009A787B"/>
    <w:rsid w:val="009B2919"/>
    <w:rsid w:val="009B343A"/>
    <w:rsid w:val="009C4FA4"/>
    <w:rsid w:val="009C5F8E"/>
    <w:rsid w:val="009D030C"/>
    <w:rsid w:val="009D163C"/>
    <w:rsid w:val="009D568E"/>
    <w:rsid w:val="009D7AC1"/>
    <w:rsid w:val="009E64D4"/>
    <w:rsid w:val="009E7C02"/>
    <w:rsid w:val="009F1D91"/>
    <w:rsid w:val="009F3842"/>
    <w:rsid w:val="009F55AD"/>
    <w:rsid w:val="009F6AEF"/>
    <w:rsid w:val="00A050E2"/>
    <w:rsid w:val="00A05984"/>
    <w:rsid w:val="00A14BFE"/>
    <w:rsid w:val="00A17167"/>
    <w:rsid w:val="00A175B9"/>
    <w:rsid w:val="00A229DF"/>
    <w:rsid w:val="00A22D59"/>
    <w:rsid w:val="00A23C5D"/>
    <w:rsid w:val="00A34511"/>
    <w:rsid w:val="00A356EE"/>
    <w:rsid w:val="00A35930"/>
    <w:rsid w:val="00A367AA"/>
    <w:rsid w:val="00A40294"/>
    <w:rsid w:val="00A476CD"/>
    <w:rsid w:val="00A513D8"/>
    <w:rsid w:val="00A621A3"/>
    <w:rsid w:val="00A648C8"/>
    <w:rsid w:val="00A702E3"/>
    <w:rsid w:val="00A73393"/>
    <w:rsid w:val="00A775D7"/>
    <w:rsid w:val="00A84610"/>
    <w:rsid w:val="00A85118"/>
    <w:rsid w:val="00A90F6C"/>
    <w:rsid w:val="00A9111C"/>
    <w:rsid w:val="00A94A5B"/>
    <w:rsid w:val="00A94DED"/>
    <w:rsid w:val="00A94E40"/>
    <w:rsid w:val="00A975A5"/>
    <w:rsid w:val="00AB5FD9"/>
    <w:rsid w:val="00AC3C36"/>
    <w:rsid w:val="00AC428E"/>
    <w:rsid w:val="00AC5EE0"/>
    <w:rsid w:val="00AD0321"/>
    <w:rsid w:val="00AD1228"/>
    <w:rsid w:val="00AD2679"/>
    <w:rsid w:val="00AE7E79"/>
    <w:rsid w:val="00B00F0C"/>
    <w:rsid w:val="00B02F74"/>
    <w:rsid w:val="00B03200"/>
    <w:rsid w:val="00B101C5"/>
    <w:rsid w:val="00B15590"/>
    <w:rsid w:val="00B17A88"/>
    <w:rsid w:val="00B22A4B"/>
    <w:rsid w:val="00B23ABE"/>
    <w:rsid w:val="00B25C0B"/>
    <w:rsid w:val="00B30993"/>
    <w:rsid w:val="00B3183A"/>
    <w:rsid w:val="00B331F6"/>
    <w:rsid w:val="00B4712F"/>
    <w:rsid w:val="00B52EBF"/>
    <w:rsid w:val="00B5390C"/>
    <w:rsid w:val="00B53ECA"/>
    <w:rsid w:val="00B54959"/>
    <w:rsid w:val="00B664AE"/>
    <w:rsid w:val="00B66C99"/>
    <w:rsid w:val="00B73E02"/>
    <w:rsid w:val="00B75C76"/>
    <w:rsid w:val="00B84918"/>
    <w:rsid w:val="00B86D93"/>
    <w:rsid w:val="00B90A56"/>
    <w:rsid w:val="00BA5F1D"/>
    <w:rsid w:val="00BA71D5"/>
    <w:rsid w:val="00BB1208"/>
    <w:rsid w:val="00BB31D6"/>
    <w:rsid w:val="00BB6C6B"/>
    <w:rsid w:val="00BB7496"/>
    <w:rsid w:val="00BC45C3"/>
    <w:rsid w:val="00BC5EAD"/>
    <w:rsid w:val="00BD127C"/>
    <w:rsid w:val="00BD16C0"/>
    <w:rsid w:val="00BD5350"/>
    <w:rsid w:val="00BE5026"/>
    <w:rsid w:val="00BE6CFB"/>
    <w:rsid w:val="00BF1ABC"/>
    <w:rsid w:val="00C01FDD"/>
    <w:rsid w:val="00C06BB6"/>
    <w:rsid w:val="00C257EE"/>
    <w:rsid w:val="00C326EF"/>
    <w:rsid w:val="00C33443"/>
    <w:rsid w:val="00C408A7"/>
    <w:rsid w:val="00C45A1A"/>
    <w:rsid w:val="00C46F6E"/>
    <w:rsid w:val="00C52C4A"/>
    <w:rsid w:val="00C5522F"/>
    <w:rsid w:val="00C679BF"/>
    <w:rsid w:val="00C67A9A"/>
    <w:rsid w:val="00C75178"/>
    <w:rsid w:val="00C774E4"/>
    <w:rsid w:val="00C923DE"/>
    <w:rsid w:val="00C94326"/>
    <w:rsid w:val="00C944AE"/>
    <w:rsid w:val="00C96EF3"/>
    <w:rsid w:val="00C97B64"/>
    <w:rsid w:val="00CA0CAF"/>
    <w:rsid w:val="00CA3BDD"/>
    <w:rsid w:val="00CB0066"/>
    <w:rsid w:val="00CB25CF"/>
    <w:rsid w:val="00CB39C4"/>
    <w:rsid w:val="00CD0D2C"/>
    <w:rsid w:val="00CD3E02"/>
    <w:rsid w:val="00CE4BB6"/>
    <w:rsid w:val="00CE56F0"/>
    <w:rsid w:val="00CE60B4"/>
    <w:rsid w:val="00CE75AB"/>
    <w:rsid w:val="00CF1B05"/>
    <w:rsid w:val="00CF250D"/>
    <w:rsid w:val="00CF5027"/>
    <w:rsid w:val="00CF6A04"/>
    <w:rsid w:val="00CF6EB0"/>
    <w:rsid w:val="00D01135"/>
    <w:rsid w:val="00D02C4D"/>
    <w:rsid w:val="00D123A5"/>
    <w:rsid w:val="00D15F6A"/>
    <w:rsid w:val="00D17167"/>
    <w:rsid w:val="00D2128E"/>
    <w:rsid w:val="00D220FE"/>
    <w:rsid w:val="00D224F0"/>
    <w:rsid w:val="00D24CBE"/>
    <w:rsid w:val="00D26B02"/>
    <w:rsid w:val="00D31521"/>
    <w:rsid w:val="00D31C11"/>
    <w:rsid w:val="00D33F0E"/>
    <w:rsid w:val="00D420C2"/>
    <w:rsid w:val="00D43A9F"/>
    <w:rsid w:val="00D54A24"/>
    <w:rsid w:val="00D64F35"/>
    <w:rsid w:val="00D70E7A"/>
    <w:rsid w:val="00D71D73"/>
    <w:rsid w:val="00D73ADB"/>
    <w:rsid w:val="00D7571B"/>
    <w:rsid w:val="00D80331"/>
    <w:rsid w:val="00D8065D"/>
    <w:rsid w:val="00D82710"/>
    <w:rsid w:val="00D95BCF"/>
    <w:rsid w:val="00D977A2"/>
    <w:rsid w:val="00D97931"/>
    <w:rsid w:val="00DA0794"/>
    <w:rsid w:val="00DA77B2"/>
    <w:rsid w:val="00DB1CB0"/>
    <w:rsid w:val="00DC69A4"/>
    <w:rsid w:val="00DD018F"/>
    <w:rsid w:val="00DF6D84"/>
    <w:rsid w:val="00E248C3"/>
    <w:rsid w:val="00E256EC"/>
    <w:rsid w:val="00E36283"/>
    <w:rsid w:val="00E372D2"/>
    <w:rsid w:val="00E37538"/>
    <w:rsid w:val="00E50226"/>
    <w:rsid w:val="00E55EA7"/>
    <w:rsid w:val="00E67E73"/>
    <w:rsid w:val="00E75399"/>
    <w:rsid w:val="00E75B55"/>
    <w:rsid w:val="00E76EE0"/>
    <w:rsid w:val="00E909D4"/>
    <w:rsid w:val="00E96E65"/>
    <w:rsid w:val="00EA0F35"/>
    <w:rsid w:val="00EA17AD"/>
    <w:rsid w:val="00EA278E"/>
    <w:rsid w:val="00EA2C43"/>
    <w:rsid w:val="00EB5899"/>
    <w:rsid w:val="00EC1DE0"/>
    <w:rsid w:val="00EC4BB3"/>
    <w:rsid w:val="00ED0037"/>
    <w:rsid w:val="00ED6859"/>
    <w:rsid w:val="00F1192F"/>
    <w:rsid w:val="00F11996"/>
    <w:rsid w:val="00F12F57"/>
    <w:rsid w:val="00F2081A"/>
    <w:rsid w:val="00F232EF"/>
    <w:rsid w:val="00F32B6D"/>
    <w:rsid w:val="00F33348"/>
    <w:rsid w:val="00F35CED"/>
    <w:rsid w:val="00F4100E"/>
    <w:rsid w:val="00F4329B"/>
    <w:rsid w:val="00F44B53"/>
    <w:rsid w:val="00F46D96"/>
    <w:rsid w:val="00F51C50"/>
    <w:rsid w:val="00F66CF3"/>
    <w:rsid w:val="00F704F3"/>
    <w:rsid w:val="00F72536"/>
    <w:rsid w:val="00F851D1"/>
    <w:rsid w:val="00F87B2C"/>
    <w:rsid w:val="00F9493E"/>
    <w:rsid w:val="00FA0356"/>
    <w:rsid w:val="00FA041F"/>
    <w:rsid w:val="00FA176B"/>
    <w:rsid w:val="00FA4E3E"/>
    <w:rsid w:val="00FC4FA5"/>
    <w:rsid w:val="00FC55B3"/>
    <w:rsid w:val="00FD7812"/>
    <w:rsid w:val="00FE7EA2"/>
    <w:rsid w:val="00FF063D"/>
    <w:rsid w:val="00FF3C6B"/>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02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EE7CA-7B87-452C-9B94-B9FCF82C3F10}">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4.xml><?xml version="1.0" encoding="utf-8"?>
<ds:datastoreItem xmlns:ds="http://schemas.openxmlformats.org/officeDocument/2006/customXml" ds:itemID="{2959EAB2-6FD4-471B-85B4-508B425DC10B}">
  <ds:schemaRefs>
    <ds:schemaRef ds:uri="http://schemas.openxmlformats.org/officeDocument/2006/bibliography"/>
  </ds:schemaRefs>
</ds:datastoreItem>
</file>

<file path=customXml/itemProps5.xml><?xml version="1.0" encoding="utf-8"?>
<ds:datastoreItem xmlns:ds="http://schemas.openxmlformats.org/officeDocument/2006/customXml" ds:itemID="{6EA9A7EC-3FA1-4BF0-96FD-792E7131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18738</Words>
  <Characters>129293</Characters>
  <Application>Microsoft Office Word</Application>
  <DocSecurity>0</DocSecurity>
  <Lines>1077</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Adam Benko</cp:lastModifiedBy>
  <cp:revision>13</cp:revision>
  <cp:lastPrinted>2016-10-06T10:34:00Z</cp:lastPrinted>
  <dcterms:created xsi:type="dcterms:W3CDTF">2016-09-13T15:03:00Z</dcterms:created>
  <dcterms:modified xsi:type="dcterms:W3CDTF">2016-11-11T08:57:00Z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